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14</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金峰镇便民服务中心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关于</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和《重庆市开州区金峰镇人民政府关于批复2026年单位预算的通知》（开州金府发〔2026〕11号），现将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单位</w:t>
      </w:r>
      <w:r>
        <w:rPr>
          <w:rFonts w:hint="default" w:ascii="Times New Roman" w:hAnsi="Times New Roman" w:eastAsia="方正仿宋_GBK" w:cs="Times New Roman"/>
          <w:sz w:val="32"/>
        </w:rPr>
        <w:t>预算批复情况公开如下：</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服务中心项目支出表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eastAsia" w:ascii="Times New Roman" w:hAnsi="Times New Roman" w:eastAsia="方正仿宋_GBK" w:cs="Times New Roman"/>
          <w:sz w:val="32"/>
          <w:szCs w:val="32"/>
          <w:highlight w:val="none"/>
          <w:lang w:eastAsia="zh-CN"/>
        </w:rPr>
        <w:t>便民</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highlight w:val="none"/>
          <w:lang w:val="en-US" w:eastAsia="zh-CN"/>
        </w:rPr>
        <w:t>乡镇级事业单位</w:t>
      </w:r>
      <w:r>
        <w:rPr>
          <w:rFonts w:hint="default" w:ascii="Times New Roman" w:hAnsi="Times New Roman" w:eastAsia="方正仿宋_GBK" w:cs="Times New Roman"/>
          <w:sz w:val="32"/>
          <w:highlight w:val="none"/>
        </w:rPr>
        <w:t>。负责政务服务、退役军人服务、公共资源交易服务、便民服务工作；承担便民服务平台的建设、管理、维护等工作，推行便民服务标准化，指导村（社区）便民服务工作；负责窗口人员监督管理和考核工作。</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eastAsia" w:ascii="Times New Roman" w:hAnsi="Times New Roman" w:eastAsia="方正仿宋_GBK" w:cs="Times New Roman"/>
          <w:sz w:val="32"/>
          <w:szCs w:val="32"/>
          <w:highlight w:val="none"/>
          <w:lang w:eastAsia="zh-CN"/>
        </w:rPr>
        <w:t>便民</w:t>
      </w:r>
      <w:r>
        <w:rPr>
          <w:rFonts w:hint="default" w:ascii="Times New Roman" w:hAnsi="Times New Roman" w:eastAsia="方正仿宋_GBK" w:cs="Times New Roman"/>
          <w:sz w:val="32"/>
          <w:szCs w:val="32"/>
          <w:highlight w:val="none"/>
        </w:rPr>
        <w:t>服务中心</w:t>
      </w:r>
      <w:r>
        <w:rPr>
          <w:rFonts w:hint="eastAsia" w:ascii="Times New Roman" w:hAnsi="Times New Roman" w:eastAsia="方正仿宋_GBK" w:cs="Times New Roman"/>
          <w:sz w:val="32"/>
          <w:highlight w:val="none"/>
          <w:lang w:val="en-US" w:eastAsia="zh-CN"/>
        </w:rPr>
        <w:t>为二级预算单位，无下级预算单位，本单位</w:t>
      </w:r>
      <w:r>
        <w:rPr>
          <w:rFonts w:hint="eastAsia" w:ascii="Times New Roman" w:hAnsi="Times New Roman" w:eastAsia="方正仿宋_GBK"/>
          <w:sz w:val="32"/>
        </w:rPr>
        <w:t>设有事业编制</w:t>
      </w:r>
      <w:r>
        <w:rPr>
          <w:rFonts w:hint="eastAsia" w:ascii="Times New Roman" w:hAnsi="Times New Roman" w:eastAsia="方正仿宋_GBK"/>
          <w:sz w:val="32"/>
          <w:lang w:val="en-US" w:eastAsia="zh-CN"/>
        </w:rPr>
        <w:t>8</w:t>
      </w:r>
      <w:r>
        <w:rPr>
          <w:rFonts w:hint="eastAsia" w:ascii="Times New Roman" w:hAnsi="Times New Roman" w:eastAsia="方正仿宋_GBK"/>
          <w:sz w:val="32"/>
        </w:rPr>
        <w:t>名</w:t>
      </w:r>
      <w:r>
        <w:rPr>
          <w:rFonts w:hint="eastAsia" w:ascii="Times New Roman" w:hAnsi="Times New Roman" w:eastAsia="方正仿宋_GBK"/>
          <w:sz w:val="32"/>
          <w:lang w:eastAsia="zh-CN"/>
        </w:rPr>
        <w:t>，</w:t>
      </w:r>
      <w:r>
        <w:rPr>
          <w:rFonts w:hint="eastAsia" w:ascii="Times New Roman" w:hAnsi="Times New Roman" w:eastAsia="方正仿宋_GBK"/>
          <w:sz w:val="32"/>
          <w:highlight w:val="none"/>
          <w:lang w:eastAsia="zh-CN"/>
        </w:rPr>
        <w:t>主管部门为重庆市开州区</w:t>
      </w:r>
      <w:r>
        <w:rPr>
          <w:rFonts w:hint="eastAsia" w:ascii="Times New Roman" w:hAnsi="Times New Roman" w:eastAsia="方正仿宋_GBK"/>
          <w:sz w:val="32"/>
          <w:highlight w:val="none"/>
          <w:lang w:val="en-US" w:eastAsia="zh-CN"/>
        </w:rPr>
        <w:t>金峰</w:t>
      </w:r>
      <w:r>
        <w:rPr>
          <w:rFonts w:hint="eastAsia" w:ascii="Times New Roman" w:hAnsi="Times New Roman" w:eastAsia="方正仿宋_GBK"/>
          <w:sz w:val="32"/>
          <w:highlight w:val="none"/>
          <w:lang w:eastAsia="zh-CN"/>
        </w:rPr>
        <w:t>镇人民政府</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一般公共服务支出</w:t>
      </w:r>
      <w:r>
        <w:rPr>
          <w:rFonts w:hint="eastAsia" w:ascii="Times New Roman" w:hAnsi="Times New Roman" w:eastAsia="方正仿宋_GBK" w:cs="Times New Roman"/>
          <w:sz w:val="32"/>
          <w:highlight w:val="none"/>
          <w:lang w:eastAsia="zh-CN"/>
        </w:rPr>
        <w:t>预算</w:t>
      </w:r>
      <w:r>
        <w:rPr>
          <w:rFonts w:hint="eastAsia" w:ascii="Times New Roman" w:hAnsi="Times New Roman" w:eastAsia="方正仿宋_GBK" w:cs="Times New Roman"/>
          <w:sz w:val="32"/>
          <w:highlight w:val="none"/>
          <w:lang w:val="en-US" w:eastAsia="zh-CN"/>
        </w:rPr>
        <w:t>130.16万元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29.93</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8.62</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7.85</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176.57</w:t>
      </w:r>
      <w:r>
        <w:rPr>
          <w:rFonts w:hint="default" w:ascii="Times New Roman" w:hAnsi="Times New Roman" w:eastAsia="方正仿宋_GBK" w:cs="Times New Roman"/>
          <w:sz w:val="32"/>
          <w:highlight w:val="none"/>
        </w:rPr>
        <w:t>万元，主要原因是本单位于2025年年中开始独立核算，2025年年初无预算数。主要用于保障</w:t>
      </w:r>
      <w:r>
        <w:rPr>
          <w:rFonts w:hint="eastAsia"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在职人员工资福利及社会保险缴费等，保障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重庆市开州区金峰镇</w:t>
      </w:r>
      <w:r>
        <w:rPr>
          <w:rFonts w:hint="eastAsia" w:ascii="Times New Roman" w:hAnsi="Times New Roman" w:eastAsia="方正仿宋_GBK" w:cs="Times New Roman"/>
          <w:sz w:val="32"/>
          <w:highlight w:val="none"/>
          <w:lang w:val="en-US" w:eastAsia="zh-CN"/>
        </w:rPr>
        <w:t>便民</w:t>
      </w:r>
      <w:r>
        <w:rPr>
          <w:rFonts w:hint="default" w:ascii="Times New Roman" w:hAnsi="Times New Roman" w:eastAsia="方正仿宋_GBK" w:cs="Times New Roman"/>
          <w:sz w:val="32"/>
          <w:highlight w:val="none"/>
          <w:lang w:val="en-US" w:eastAsia="zh-CN"/>
        </w:rPr>
        <w:t>服务中心2026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重庆市开州区金峰镇</w:t>
      </w:r>
      <w:r>
        <w:rPr>
          <w:rFonts w:hint="eastAsia" w:ascii="Times New Roman" w:hAnsi="Times New Roman" w:eastAsia="方正仿宋_GBK" w:cs="Times New Roman"/>
          <w:sz w:val="32"/>
          <w:highlight w:val="none"/>
          <w:lang w:val="en-US" w:eastAsia="zh-CN"/>
        </w:rPr>
        <w:t>便民</w:t>
      </w:r>
      <w:r>
        <w:rPr>
          <w:rFonts w:hint="default" w:ascii="Times New Roman" w:hAnsi="Times New Roman" w:eastAsia="方正仿宋_GBK" w:cs="Times New Roman"/>
          <w:sz w:val="32"/>
          <w:highlight w:val="none"/>
          <w:lang w:val="en-US" w:eastAsia="zh-CN"/>
        </w:rPr>
        <w:t>服务中心2026年无</w:t>
      </w:r>
      <w:r>
        <w:rPr>
          <w:rFonts w:hint="eastAsia" w:ascii="Times New Roman" w:hAnsi="Times New Roman" w:eastAsia="方正仿宋_GBK" w:cs="Times New Roman"/>
          <w:sz w:val="32"/>
          <w:highlight w:val="none"/>
          <w:lang w:val="en-US" w:eastAsia="zh-CN"/>
        </w:rPr>
        <w:t>三公经费预算安排支出</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eastAsia"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lang w:val="en-US" w:eastAsia="zh-CN"/>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w:t>
      </w:r>
      <w:r>
        <w:rPr>
          <w:rFonts w:hint="eastAsia" w:ascii="Times New Roman" w:hAnsi="Times New Roman" w:eastAsia="方正仿宋_GBK" w:cs="Times New Roman"/>
          <w:sz w:val="32"/>
          <w:szCs w:val="32"/>
          <w:highlight w:val="none"/>
          <w:lang w:eastAsia="zh-CN"/>
        </w:rPr>
        <w:t>便民</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重庆市开州区金峰镇</w:t>
      </w:r>
      <w:r>
        <w:rPr>
          <w:rFonts w:hint="eastAsia"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服务中心</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w:t>
      </w:r>
      <w:r>
        <w:rPr>
          <w:rFonts w:hint="eastAsia" w:ascii="Times New Roman" w:hAnsi="Times New Roman" w:cs="方正仿宋_GBK"/>
          <w:sz w:val="28"/>
          <w:szCs w:val="28"/>
          <w:highlight w:val="none"/>
          <w:lang w:val="en-US" w:eastAsia="zh-CN"/>
        </w:rPr>
        <w:t>12</w:t>
      </w:r>
      <w:r>
        <w:rPr>
          <w:rFonts w:hint="eastAsia" w:ascii="Times New Roman" w:hAnsi="Times New Roman" w:eastAsia="方正仿宋_GBK" w:cs="方正仿宋_GBK"/>
          <w:sz w:val="28"/>
          <w:szCs w:val="28"/>
          <w:highlight w:val="none"/>
          <w:lang w:val="en-US" w:eastAsia="zh-CN"/>
        </w:rPr>
        <w:t>日印发</w:t>
      </w:r>
    </w:p>
    <w:sectPr>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40E117B"/>
    <w:rsid w:val="06EF3697"/>
    <w:rsid w:val="07AF403B"/>
    <w:rsid w:val="0FC104CA"/>
    <w:rsid w:val="14D02450"/>
    <w:rsid w:val="16066CA6"/>
    <w:rsid w:val="18215731"/>
    <w:rsid w:val="18470C73"/>
    <w:rsid w:val="1A2E3479"/>
    <w:rsid w:val="1F9F7947"/>
    <w:rsid w:val="1FDF559D"/>
    <w:rsid w:val="20BB050A"/>
    <w:rsid w:val="2165030C"/>
    <w:rsid w:val="25A96130"/>
    <w:rsid w:val="2E156CED"/>
    <w:rsid w:val="2FA986A4"/>
    <w:rsid w:val="34986903"/>
    <w:rsid w:val="382F6B8A"/>
    <w:rsid w:val="3AF86959"/>
    <w:rsid w:val="3DB64D8C"/>
    <w:rsid w:val="3EEA231B"/>
    <w:rsid w:val="3F7F8407"/>
    <w:rsid w:val="40E304B3"/>
    <w:rsid w:val="43F9087A"/>
    <w:rsid w:val="4D51623B"/>
    <w:rsid w:val="55AA5534"/>
    <w:rsid w:val="58FC7735"/>
    <w:rsid w:val="605862E9"/>
    <w:rsid w:val="61704203"/>
    <w:rsid w:val="63D20F4B"/>
    <w:rsid w:val="64711499"/>
    <w:rsid w:val="65AC124F"/>
    <w:rsid w:val="670C1AB4"/>
    <w:rsid w:val="67BF2512"/>
    <w:rsid w:val="6A461D9D"/>
    <w:rsid w:val="6E752B8D"/>
    <w:rsid w:val="6F8F1976"/>
    <w:rsid w:val="737D64E9"/>
    <w:rsid w:val="73841087"/>
    <w:rsid w:val="74C94B5B"/>
    <w:rsid w:val="75307775"/>
    <w:rsid w:val="77930589"/>
    <w:rsid w:val="7A280C99"/>
    <w:rsid w:val="7BFB0903"/>
    <w:rsid w:val="7F2B119F"/>
    <w:rsid w:val="7FDF7D5D"/>
    <w:rsid w:val="7FFF87B8"/>
    <w:rsid w:val="AEE79A94"/>
    <w:rsid w:val="AF773D40"/>
    <w:rsid w:val="C3C2636B"/>
    <w:rsid w:val="C67BDFFE"/>
    <w:rsid w:val="CFD73E09"/>
    <w:rsid w:val="DEBD8347"/>
    <w:rsid w:val="DEE7C23A"/>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1801</Words>
  <Characters>1964</Characters>
  <Lines>1</Lines>
  <Paragraphs>1</Paragraphs>
  <TotalTime>0</TotalTime>
  <ScaleCrop>false</ScaleCrop>
  <LinksUpToDate>false</LinksUpToDate>
  <CharactersWithSpaces>1995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2026-01-10T14:35:00Z</dcterms:created>
  <dc:creator>lenovo</dc:creator>
  <cp:lastModifiedBy>冉浩田</cp:lastModifiedBy>
  <cp:lastPrinted>2026-01-31T15:59:00Z</cp:lastPrinted>
  <dcterms:modified xsi:type="dcterms:W3CDTF">2026-03-12T07:33:14Z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