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horzAnchor="margin" w:tblpXSpec="center" w:tblpYSpec="top"/>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9061" w:type="dxa"/>
            <w:noWrap w:val="0"/>
            <w:vAlign w:val="top"/>
          </w:tcPr>
          <w:p>
            <w:pPr>
              <w:spacing w:line="600" w:lineRule="exact"/>
              <w:rPr>
                <w:rFonts w:hint="default" w:ascii="Times New Roman" w:hAnsi="Times New Roman" w:cs="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9061" w:type="dxa"/>
            <w:noWrap w:val="0"/>
            <w:vAlign w:val="top"/>
          </w:tcPr>
          <w:p>
            <w:pPr>
              <w:spacing w:line="600" w:lineRule="exact"/>
              <w:rPr>
                <w:rFonts w:hint="default" w:ascii="Times New Roman" w:hAnsi="Times New Roman" w:eastAsia="方正黑体_GBK" w:cs="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9061" w:type="dxa"/>
            <w:noWrap w:val="0"/>
            <w:vAlign w:val="center"/>
          </w:tcPr>
          <w:p>
            <w:pPr>
              <w:jc w:val="center"/>
              <w:rPr>
                <w:rFonts w:hint="default" w:ascii="Times New Roman" w:hAnsi="Times New Roman" w:eastAsia="方正小标宋简体" w:cs="Times New Roman"/>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exact"/>
          <w:jc w:val="center"/>
        </w:trPr>
        <w:tc>
          <w:tcPr>
            <w:tcW w:w="9061" w:type="dxa"/>
            <w:noWrap w:val="0"/>
            <w:vAlign w:val="center"/>
          </w:tcPr>
          <w:p>
            <w:pPr>
              <w:jc w:val="center"/>
              <w:rPr>
                <w:rFonts w:hint="default" w:ascii="Times New Roman" w:hAnsi="Times New Roman" w:eastAsia="方正小标宋_GBK" w:cs="Times New Roman"/>
                <w:b/>
                <w:color w:val="FF3300"/>
                <w:spacing w:val="45"/>
                <w:w w:val="58"/>
                <w:sz w:val="100"/>
                <w:szCs w:val="96"/>
                <w:lang w:eastAsia="zh-CN"/>
              </w:rPr>
            </w:pPr>
            <w:r>
              <w:rPr>
                <w:rFonts w:hint="default" w:ascii="Times New Roman" w:hAnsi="Times New Roman" w:eastAsia="方正小标宋_GBK" w:cs="Times New Roman"/>
                <w:b/>
                <w:color w:val="FF3300"/>
                <w:spacing w:val="45"/>
                <w:w w:val="58"/>
                <w:sz w:val="100"/>
                <w:szCs w:val="96"/>
              </w:rPr>
              <w:t>重庆市开州区巫山镇</w:t>
            </w:r>
            <w:r>
              <w:rPr>
                <w:rFonts w:hint="default" w:ascii="Times New Roman" w:hAnsi="Times New Roman" w:eastAsia="方正小标宋_GBK" w:cs="Times New Roman"/>
                <w:b/>
                <w:color w:val="FF3300"/>
                <w:spacing w:val="45"/>
                <w:w w:val="58"/>
                <w:sz w:val="100"/>
                <w:szCs w:val="96"/>
                <w:lang w:eastAsia="zh-CN"/>
              </w:rPr>
              <w:t>人民政府</w:t>
            </w: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32"/>
                <w:w w:val="58"/>
                <w:sz w:val="128"/>
                <w:szCs w:val="1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exact"/>
          <w:jc w:val="center"/>
        </w:trPr>
        <w:tc>
          <w:tcPr>
            <w:tcW w:w="9061" w:type="dxa"/>
            <w:noWrap/>
            <w:vAlign w:val="bottom"/>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default" w:ascii="Times New Roman" w:hAnsi="Times New Roman" w:eastAsia="方正楷体_GBK" w:cs="Times New Roman"/>
                <w:sz w:val="34"/>
                <w:szCs w:val="34"/>
              </w:rPr>
            </w:pPr>
            <w:r>
              <w:rPr>
                <w:rFonts w:hint="default" w:ascii="Times New Roman" w:hAnsi="Times New Roman" w:eastAsia="方正仿宋_GBK" w:cs="Times New Roman"/>
                <w:b w:val="0"/>
                <w:bCs w:val="0"/>
                <w:sz w:val="32"/>
                <w:szCs w:val="32"/>
                <w:lang w:eastAsia="zh-CN"/>
              </w:rPr>
              <w:t>开州巫山府文〔</w:t>
            </w:r>
            <w:r>
              <w:rPr>
                <w:rFonts w:hint="default" w:ascii="Times New Roman" w:hAnsi="Times New Roman" w:eastAsia="方正仿宋_GBK" w:cs="Times New Roman"/>
                <w:b w:val="0"/>
                <w:bCs w:val="0"/>
                <w:sz w:val="32"/>
                <w:szCs w:val="32"/>
                <w:lang w:val="en-US" w:eastAsia="zh-CN"/>
              </w:rPr>
              <w:t>2026</w:t>
            </w:r>
            <w:r>
              <w:rPr>
                <w:rFonts w:hint="default" w:ascii="Times New Roman" w:hAnsi="Times New Roman" w:eastAsia="方正仿宋_GBK" w:cs="Times New Roman"/>
                <w:b w:val="0"/>
                <w:bCs w:val="0"/>
                <w:sz w:val="32"/>
                <w:szCs w:val="32"/>
                <w:lang w:eastAsia="zh-CN"/>
              </w:rPr>
              <w:t>〕</w:t>
            </w:r>
            <w:r>
              <w:rPr>
                <w:rFonts w:hint="default" w:ascii="Times New Roman" w:hAnsi="Times New Roman" w:cs="Times New Roman"/>
                <w:b w:val="0"/>
                <w:bCs w:val="0"/>
                <w:sz w:val="32"/>
                <w:szCs w:val="32"/>
                <w:lang w:val="en-US" w:eastAsia="zh-CN"/>
              </w:rPr>
              <w:t>4</w:t>
            </w:r>
            <w:r>
              <w:rPr>
                <w:rFonts w:hint="default" w:ascii="Times New Roman" w:hAnsi="Times New Roman" w:eastAsia="方正仿宋_GBK" w:cs="Times New Roman"/>
                <w:b w:val="0"/>
                <w:bCs w:val="0"/>
                <w:sz w:val="32"/>
                <w:szCs w:val="32"/>
                <w:lang w:eastAsia="zh-CN"/>
              </w:rPr>
              <w:t xml:space="preserve">号     </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eastAsia="zh-CN"/>
              </w:rPr>
              <w:t>签发人：</w:t>
            </w:r>
            <w:r>
              <w:rPr>
                <w:rFonts w:hint="default" w:ascii="Times New Roman" w:hAnsi="Times New Roman" w:eastAsia="方正楷体_GBK" w:cs="Times New Roman"/>
                <w:b w:val="0"/>
                <w:bCs w:val="0"/>
                <w:sz w:val="32"/>
                <w:szCs w:val="32"/>
                <w:lang w:eastAsia="zh-CN"/>
              </w:rPr>
              <w:t>邹麟敏</w:t>
            </w:r>
          </w:p>
          <w:p>
            <w:pPr>
              <w:spacing w:line="540" w:lineRule="exact"/>
              <w:jc w:val="center"/>
              <w:rPr>
                <w:rFonts w:hint="default" w:ascii="Times New Roman" w:hAnsi="Times New Roman" w:cs="Times New Roman"/>
                <w:color w:val="FF3300"/>
                <w:sz w:val="52"/>
                <w:szCs w:val="52"/>
              </w:rPr>
            </w:pPr>
            <w:r>
              <w:rPr>
                <w:rFonts w:hint="default" w:ascii="Times New Roman" w:hAnsi="Times New Roman"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3143885</wp:posOffset>
                      </wp:positionH>
                      <wp:positionV relativeFrom="paragraph">
                        <wp:posOffset>151130</wp:posOffset>
                      </wp:positionV>
                      <wp:extent cx="2598420" cy="0"/>
                      <wp:effectExtent l="0" t="13970" r="11430" b="24130"/>
                      <wp:wrapNone/>
                      <wp:docPr id="2" name="直接连接符 2"/>
                      <wp:cNvGraphicFramePr/>
                      <a:graphic xmlns:a="http://schemas.openxmlformats.org/drawingml/2006/main">
                        <a:graphicData uri="http://schemas.microsoft.com/office/word/2010/wordprocessingShape">
                          <wps:wsp>
                            <wps:cNvCnPr/>
                            <wps:spPr>
                              <a:xfrm>
                                <a:off x="0" y="0"/>
                                <a:ext cx="259842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7.55pt;margin-top:11.9pt;height:0pt;width:204.6pt;z-index:251660288;mso-width-relative:page;mso-height-relative:page;" filled="f" stroked="t" coordsize="21600,21600" o:gfxdata="UEsDBAoAAAAAAIdO4kAAAAAAAAAAAAAAAAAEAAAAZHJzL1BLAwQUAAAACACHTuJA7A7oUtcAAAAJ&#10;AQAADwAAAGRycy9kb3ducmV2LnhtbE2PTU/DMAyG70j8h8hI3FjSbqCtNJ0AwQ1ponzsmrWmqdY4&#10;VZN13b/HaAc42n70+nnz9eQ6MeIQWk8akpkCgVT5uqVGw8f7y80SRIiGatN5Qg0nDLAuLi9yk9X+&#10;SG84lrERHEIhMxpsjH0mZagsOhNmvkfi27cfnIk8Do2sB3PkcNfJVKk76UxL/MGaHp8sVvvy4DRM&#10;X8sHu32Nj8/+c2P307Z0Y3rS+voqUfcgIk7xD4ZffVaHgp12/kB1EJ2Gxeo2YVRDOucKDKzUYg5i&#10;d17IIpf/GxQ/UEsDBBQAAAAIAIdO4kC9Vs5y/AEAAPMDAAAOAAAAZHJzL2Uyb0RvYy54bWytU82O&#10;0zAQviPxDpbvNN2IQoma7mFLuSCoBDzA1HYSS/6Tx23al+AFkLjBiSN33oblMRgn3bIslx7IwRl7&#10;Zr6Z7/N4cX2whu1VRO1dza8mU86UE15q19b8w/v1kzlnmMBJMN6pmh8V8uvl40eLPlSq9J03UkVG&#10;IA6rPtS8SylURYGiUxZw4oNy5Gx8tJBoG9tCRugJ3ZqinE6fFb2PMkQvFCKdrkYnPyHGSwB902ih&#10;Vl7srHJpRI3KQCJK2OmAfDl02zRKpLdNgyoxU3NimoaVipC9zWuxXEDVRgidFqcW4JIWHnCyoB0V&#10;PUOtIAHbRf0PlNUievRNmghvi5HIoAixuJo+0OZdB0ENXEhqDGfR8f/Bijf7TWRa1rzkzIGlC7/9&#10;9P3nxy+/fnym9fbbV1ZmkfqAFcXeuE087TBsYmZ8aKLNf+LCDoOwx7Ow6pCYoMNy9mL+tCTNxZ2v&#10;+JMYIqZXyluWjZob7TJnqGD/GhMVo9C7kHxsHOsJcT57PiM8oAls6ObJtIFYoGuHZPRGy7U2Jqdg&#10;bLc3JrI90BSs11P6MicC/issV1kBdmPc4Brno1MgXzrJ0jGQPo6eBc89WCU5M4peUbYIEKoE2lwS&#10;SaWNywlqmNET0SzyKGu2tl4e6W52Ieq2I2Guhp6zh2Zh6P40t3nY7u/Jvv9Wl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A7oUtcAAAAJAQAADwAAAAAAAAABACAAAAAiAAAAZHJzL2Rvd25yZXYu&#10;eG1sUEsBAhQAFAAAAAgAh07iQL1WznL8AQAA8wMAAA4AAAAAAAAAAQAgAAAAJgEAAGRycy9lMm9E&#10;b2MueG1sUEsFBgAAAAAGAAYAWQEAAJQFAAAAAA==&#10;">
                      <v:fill on="f" focussize="0,0"/>
                      <v:stroke weight="2.25pt" color="#FF0000" joinstyle="round"/>
                      <v:imagedata o:title=""/>
                      <o:lock v:ext="edit" aspectratio="f"/>
                    </v:line>
                  </w:pict>
                </mc:Fallback>
              </mc:AlternateContent>
            </w:r>
            <w:r>
              <w:rPr>
                <w:rFonts w:hint="default" w:ascii="Times New Roman" w:hAnsi="Times New Roman" w:cs="Times New Roman"/>
                <w:color w:val="FF3300"/>
                <w:sz w:val="52"/>
                <w:szCs w:val="5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161925</wp:posOffset>
                      </wp:positionV>
                      <wp:extent cx="2536190" cy="0"/>
                      <wp:effectExtent l="0" t="13970" r="16510" b="24130"/>
                      <wp:wrapNone/>
                      <wp:docPr id="3" name="直接连接符 3"/>
                      <wp:cNvGraphicFramePr/>
                      <a:graphic xmlns:a="http://schemas.openxmlformats.org/drawingml/2006/main">
                        <a:graphicData uri="http://schemas.microsoft.com/office/word/2010/wordprocessingShape">
                          <wps:wsp>
                            <wps:cNvCnPr/>
                            <wps:spPr>
                              <a:xfrm>
                                <a:off x="0" y="0"/>
                                <a:ext cx="253619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pt;margin-top:12.75pt;height:0pt;width:199.7pt;z-index:251659264;mso-width-relative:page;mso-height-relative:page;" filled="f" stroked="t" coordsize="21600,21600" o:gfxdata="UEsDBAoAAAAAAIdO4kAAAAAAAAAAAAAAAAAEAAAAZHJzL1BLAwQUAAAACACHTuJAgooZXtIAAAAH&#10;AQAADwAAAGRycy9kb3ducmV2LnhtbE2Oy07DMBBF90j8gzVI7KjTiKIqxKkAwQ4JER7dTuMhjhqP&#10;o9hN079nEAtY3ofuPeVm9r2aaIxdYAPLRQaKuAm249bA+9vT1RpUTMgW+8Bk4EQRNtX5WYmFDUd+&#10;palOrZIRjgUacCkNhdaxceQxLsJALNlXGD0mkWOr7YhHGfe9zrPsRnvsWB4cDvTgqNnXB29g/lzf&#10;ue1zun8MHy9uP29rP+UnYy4vltktqERz+ivDD76gQyVMu3BgG1UvOpeigXy1AiXxtZyB2v0auir1&#10;f/7qG1BLAwQUAAAACACHTuJAi3YD+fwBAADzAwAADgAAAGRycy9lMm9Eb2MueG1srVNLjhMxEN0j&#10;cQfLe9L5KMPQSmcWE8IGQSTgABXb3W3JP7mcdHIJLoDEDlYs2XMbhmNQ7s6EYdhkQS/cZVfVq3rP&#10;5cXNwRq2VxG1dxWfjMacKSe81K6p+If362fXnGECJ8F4pyp+VMhvlk+fLLpQqqlvvZEqMgJxWHah&#10;4m1KoSwKFK2ygCMflCNn7aOFRNvYFDJCR+jWFNPx+KrofJQheqEQ6XQ1OPkJMV4C6OtaC7XyYmeV&#10;SwNqVAYSUcJWB+TLvtu6ViK9rWtUiZmKE9PUr1SE7G1ei+UCyiZCaLU4tQCXtPCIkwXtqOgZagUJ&#10;2C7qf6CsFtGjr9NIeFsMRHpFiMVk/Eibdy0E1XMhqTGcRcf/Byve7DeRaVnxGWcOLF343afvPz9+&#10;+fXjM613376yWRapC1hS7K3bxNMOwyZmxoc62vwnLuzQC3s8C6sOiQk6nM5nV5MXpLm49xV/EkPE&#10;9Ep5y7JRcaNd5gwl7F9jomIUeh+Sj41jHSFez5/PCQ9oAmu6eTJtIBbomj4ZvdFyrY3JKRib7a2J&#10;bA80Bev1mL7MiYD/CstVVoDtENe7hvloFciXTrJ0DKSPo2fBcw9WSc6MoleULQKEMoE2l0RSaeNy&#10;gupn9EQ0izzImq2tl0e6m12IumlJmEnfc/bQLPTdn+Y2D9vDPdkP3+r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KKGV7SAAAABwEAAA8AAAAAAAAAAQAgAAAAIgAAAGRycy9kb3ducmV2LnhtbFBL&#10;AQIUABQAAAAIAIdO4kCLdgP5/AEAAPMDAAAOAAAAAAAAAAEAIAAAACEBAABkcnMvZTJvRG9jLnht&#10;bFBLBQYAAAAABgAGAFkBAACPBQAAAAA=&#10;">
                      <v:fill on="f" focussize="0,0"/>
                      <v:stroke weight="2.25pt" color="#FF0000" joinstyle="round"/>
                      <v:imagedata o:title=""/>
                      <o:lock v:ext="edit" aspectratio="f"/>
                    </v:line>
                  </w:pict>
                </mc:Fallback>
              </mc:AlternateContent>
            </w:r>
            <w:r>
              <w:rPr>
                <w:rFonts w:hint="default" w:ascii="Times New Roman" w:hAnsi="Times New Roman" w:eastAsia="方正小标宋_GBK" w:cs="Times New Roman"/>
                <w:b/>
                <w:color w:val="FF3300"/>
                <w:sz w:val="52"/>
                <w:szCs w:val="52"/>
              </w:rPr>
              <w:t>★</w:t>
            </w:r>
          </w:p>
        </w:tc>
      </w:tr>
    </w:tbl>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pStyle w:val="5"/>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方正小标宋_GBK" w:cs="Times New Roman"/>
          <w:szCs w:val="32"/>
          <w:highlight w:val="none"/>
          <w:lang w:val="en-US" w:eastAsia="zh-CN"/>
        </w:rPr>
      </w:pPr>
      <w:r>
        <w:rPr>
          <w:rFonts w:hint="default" w:ascii="Times New Roman" w:hAnsi="Times New Roman" w:eastAsia="方正小标宋_GBK" w:cs="Times New Roman"/>
          <w:color w:val="000000"/>
          <w:sz w:val="44"/>
          <w:szCs w:val="44"/>
          <w:highlight w:val="none"/>
        </w:rPr>
        <w:t>重庆市开州区</w:t>
      </w:r>
      <w:r>
        <w:rPr>
          <w:rFonts w:hint="default" w:ascii="Times New Roman" w:hAnsi="Times New Roman" w:eastAsia="方正小标宋_GBK" w:cs="Times New Roman"/>
          <w:color w:val="000000"/>
          <w:sz w:val="44"/>
          <w:szCs w:val="44"/>
          <w:highlight w:val="none"/>
          <w:lang w:val="en-US" w:eastAsia="zh-CN"/>
        </w:rPr>
        <w:t>巫山镇人民政府</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sz w:val="44"/>
          <w:szCs w:val="44"/>
          <w:highlight w:val="none"/>
        </w:rPr>
        <w:t>关</w:t>
      </w:r>
      <w:r>
        <w:rPr>
          <w:rFonts w:hint="default" w:ascii="Times New Roman" w:hAnsi="Times New Roman" w:eastAsia="方正小标宋_GBK" w:cs="Times New Roman"/>
          <w:sz w:val="44"/>
          <w:szCs w:val="44"/>
          <w:highlight w:val="none"/>
          <w:lang w:val="en-US" w:eastAsia="zh-CN"/>
        </w:rPr>
        <w:t>于巫山镇人民政府（本级）2026年</w:t>
      </w:r>
      <w:r>
        <w:rPr>
          <w:rFonts w:hint="default" w:ascii="Times New Roman" w:hAnsi="Times New Roman" w:eastAsia="方正小标宋_GBK" w:cs="Times New Roman"/>
          <w:sz w:val="44"/>
          <w:szCs w:val="44"/>
          <w:highlight w:val="none"/>
        </w:rPr>
        <w:t>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color w:val="auto"/>
          <w:sz w:val="44"/>
          <w:szCs w:val="44"/>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default" w:ascii="Times New Roman" w:hAnsi="Times New Roman" w:eastAsia="方正仿宋_GBK" w:cs="Times New Roman"/>
          <w:sz w:val="32"/>
          <w:szCs w:val="32"/>
          <w:highlight w:val="none"/>
          <w:lang w:val="en-US" w:eastAsia="zh-CN"/>
        </w:rPr>
        <w:t>重庆市开州区巫山镇人民政府（本级）2026</w:t>
      </w:r>
      <w:r>
        <w:rPr>
          <w:rFonts w:hint="default" w:ascii="Times New Roman" w:hAnsi="Times New Roman" w:eastAsia="方正仿宋_GBK" w:cs="Times New Roman"/>
          <w:sz w:val="32"/>
          <w:szCs w:val="32"/>
          <w:highlight w:val="none"/>
        </w:rPr>
        <w:t>年部门预算批复情况公开如下：</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黑体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黑体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黑体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黑体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default" w:ascii="Times New Roman" w:hAnsi="Times New Roman" w:eastAsia="方正仿宋_GBK" w:cs="Times New Roman"/>
          <w:sz w:val="32"/>
          <w:szCs w:val="32"/>
          <w:highlight w:val="none"/>
          <w:lang w:eastAsia="zh-CN"/>
        </w:rPr>
        <w:t>重庆市开州区巫山镇人民政府（本级）</w:t>
      </w:r>
      <w:r>
        <w:rPr>
          <w:rFonts w:hint="default" w:ascii="Times New Roman" w:hAnsi="Times New Roman" w:eastAsia="方正仿宋_GBK" w:cs="Times New Roman"/>
          <w:sz w:val="32"/>
          <w:szCs w:val="32"/>
          <w:highlight w:val="none"/>
        </w:rPr>
        <w:t>收支预算总表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default" w:ascii="Times New Roman" w:hAnsi="Times New Roman" w:eastAsia="方正仿宋_GBK" w:cs="Times New Roman"/>
          <w:sz w:val="32"/>
          <w:szCs w:val="32"/>
          <w:highlight w:val="none"/>
          <w:lang w:eastAsia="zh-CN"/>
        </w:rPr>
        <w:t>重庆市开州区巫山镇人民政府（本级）</w:t>
      </w:r>
      <w:r>
        <w:rPr>
          <w:rFonts w:hint="default" w:ascii="Times New Roman" w:hAnsi="Times New Roman" w:eastAsia="方正仿宋_GBK" w:cs="Times New Roman"/>
          <w:sz w:val="32"/>
          <w:szCs w:val="32"/>
          <w:highlight w:val="none"/>
        </w:rPr>
        <w:t>收入总表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default" w:ascii="Times New Roman" w:hAnsi="Times New Roman" w:eastAsia="方正仿宋_GBK" w:cs="Times New Roman"/>
          <w:sz w:val="32"/>
          <w:szCs w:val="32"/>
          <w:highlight w:val="none"/>
          <w:lang w:eastAsia="zh-CN"/>
        </w:rPr>
        <w:t>重庆市开州区巫山镇人民政府（本级）</w:t>
      </w:r>
      <w:r>
        <w:rPr>
          <w:rFonts w:hint="default" w:ascii="Times New Roman" w:hAnsi="Times New Roman" w:eastAsia="方正仿宋_GBK" w:cs="Times New Roman"/>
          <w:sz w:val="32"/>
          <w:szCs w:val="32"/>
          <w:highlight w:val="none"/>
        </w:rPr>
        <w:t>本年支出预算总表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default" w:ascii="Times New Roman" w:hAnsi="Times New Roman" w:eastAsia="方正仿宋_GBK" w:cs="Times New Roman"/>
          <w:sz w:val="32"/>
          <w:szCs w:val="32"/>
          <w:highlight w:val="none"/>
          <w:lang w:eastAsia="zh-CN"/>
        </w:rPr>
        <w:t>重庆市开州区巫山镇人民政府（本级）</w:t>
      </w:r>
      <w:r>
        <w:rPr>
          <w:rFonts w:hint="default" w:ascii="Times New Roman" w:hAnsi="Times New Roman" w:eastAsia="方正仿宋_GBK" w:cs="Times New Roman"/>
          <w:sz w:val="32"/>
          <w:szCs w:val="32"/>
          <w:highlight w:val="none"/>
        </w:rPr>
        <w:t>财政拨款收支预算总表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default" w:ascii="Times New Roman" w:hAnsi="Times New Roman" w:eastAsia="方正仿宋_GBK" w:cs="Times New Roman"/>
          <w:sz w:val="32"/>
          <w:szCs w:val="32"/>
          <w:highlight w:val="none"/>
          <w:lang w:eastAsia="zh-CN"/>
        </w:rPr>
        <w:t>重庆市开州区巫山镇人民政府（本级）</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default" w:ascii="Times New Roman" w:hAnsi="Times New Roman" w:eastAsia="方正仿宋_GBK" w:cs="Times New Roman"/>
          <w:sz w:val="32"/>
          <w:szCs w:val="32"/>
          <w:highlight w:val="none"/>
          <w:lang w:eastAsia="zh-CN"/>
        </w:rPr>
        <w:t>重庆市开州区巫山镇人民政府（本级）</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default" w:ascii="Times New Roman" w:hAnsi="Times New Roman" w:eastAsia="方正仿宋_GBK" w:cs="Times New Roman"/>
          <w:sz w:val="32"/>
          <w:szCs w:val="32"/>
          <w:highlight w:val="none"/>
          <w:lang w:eastAsia="zh-CN"/>
        </w:rPr>
        <w:t>重庆市开州区巫山镇人民政府（本级）</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default" w:ascii="Times New Roman" w:hAnsi="Times New Roman" w:eastAsia="方正仿宋_GBK" w:cs="Times New Roman"/>
          <w:sz w:val="32"/>
          <w:szCs w:val="32"/>
          <w:highlight w:val="none"/>
          <w:lang w:eastAsia="zh-CN"/>
        </w:rPr>
        <w:t>重庆市开州区巫山镇人民政府（本级）</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default" w:ascii="Times New Roman" w:hAnsi="Times New Roman" w:eastAsia="方正仿宋_GBK" w:cs="Times New Roman"/>
          <w:sz w:val="32"/>
          <w:szCs w:val="32"/>
          <w:highlight w:val="none"/>
          <w:lang w:eastAsia="zh-CN"/>
        </w:rPr>
        <w:t>重庆市开州区巫山镇人民政府（本级）</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default" w:ascii="Times New Roman" w:hAnsi="Times New Roman" w:eastAsia="方正仿宋_GBK" w:cs="Times New Roman"/>
          <w:sz w:val="32"/>
          <w:szCs w:val="32"/>
          <w:highlight w:val="none"/>
          <w:lang w:eastAsia="zh-CN"/>
        </w:rPr>
        <w:t>重庆市开州区巫山镇人民政府（本级）</w:t>
      </w:r>
      <w:r>
        <w:rPr>
          <w:rFonts w:hint="default" w:ascii="Times New Roman" w:hAnsi="Times New Roman" w:eastAsia="方正仿宋_GBK" w:cs="Times New Roman"/>
          <w:sz w:val="32"/>
          <w:szCs w:val="32"/>
          <w:highlight w:val="none"/>
        </w:rPr>
        <w:t>项目支出表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r>
        <w:rPr>
          <w:rFonts w:hint="default" w:ascii="Times New Roman" w:hAnsi="Times New Roman" w:eastAsia="方正仿宋_GBK" w:cs="Times New Roman"/>
          <w:sz w:val="32"/>
          <w:szCs w:val="32"/>
          <w:highlight w:val="none"/>
        </w:rPr>
        <w:t>表11、202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重庆市开州区巫山镇人民政府（本级）</w:t>
      </w:r>
      <w:r>
        <w:rPr>
          <w:rFonts w:hint="default" w:ascii="Times New Roman" w:hAnsi="Times New Roman" w:eastAsia="方正仿宋_GBK" w:cs="Times New Roman"/>
          <w:sz w:val="32"/>
          <w:szCs w:val="32"/>
          <w:highlight w:val="none"/>
        </w:rPr>
        <w:t>项目绩效目标表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pPr>
        <w:keepNext w:val="0"/>
        <w:keepLines w:val="0"/>
        <w:pageBreakBefore w:val="0"/>
        <w:kinsoku/>
        <w:wordWrap/>
        <w:overflowPunct/>
        <w:topLinePunct w:val="0"/>
        <w:autoSpaceDE/>
        <w:autoSpaceDN/>
        <w:bidi w:val="0"/>
        <w:adjustRightInd/>
        <w:snapToGrid/>
        <w:spacing w:line="560" w:lineRule="exact"/>
        <w:ind w:left="0"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微软雅黑"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31"/>
          <w:szCs w:val="31"/>
          <w:shd w:val="clear" w:fill="FFFFFF"/>
        </w:rPr>
        <w:t>1.加强基层党的建设。坚持党要管党、全面从严治党，切实加强党的政治建设、思想建设、组织建设、作风建设、纪律建设，把制度建设贯穿其中，深入推进反腐败斗争，推动全面从严治党向基层延伸。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微软雅黑"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31"/>
          <w:szCs w:val="31"/>
          <w:shd w:val="clear" w:fill="FFFFFF"/>
        </w:rPr>
        <w:t>2.强化经济发展职能。正确处理好政府与市场、政府与社会的关系，规范市场秩序，为各类市场主体创造统一开放、公平竞争的发展环境，激发市场、社会的创造活力。强化产业引导，科学编制发展规划，构建新型农业经营体系。落实强农惠农政策，推进扶贫开发，促进农民持续增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微软雅黑"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31"/>
          <w:szCs w:val="31"/>
          <w:shd w:val="clear" w:fill="FFFFFF"/>
        </w:rPr>
        <w:t>3.强化公共服务职能。加快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微软雅黑"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31"/>
          <w:szCs w:val="31"/>
          <w:shd w:val="clear" w:fill="FFFFFF"/>
        </w:rPr>
        <w:t>4.强化公共管理职能。加强村镇规划建设和生态环境保护，强化城镇和村容村貌管理。健全重大社情、疫情、险情等公共突发事件的预防和应急处理机制。推进社会治安综合治理，完善社会治安防控体系。加强信访工作，建立调处化解矛盾纠纷综合机制，确保农村社会和谐稳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微软雅黑"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31"/>
          <w:szCs w:val="31"/>
          <w:shd w:val="clear" w:fill="FFFFFF"/>
        </w:rPr>
        <w:t>5.强化公共安全职能。加强安全生产、食品药品、生态建设、农产品质量安全等监督管理，建立健全隐患排查治理体系和安全预防控制体系。推进基层行政执法体制改革，完善执法保障机制，增强执法监督能力。</w:t>
      </w:r>
    </w:p>
    <w:p>
      <w:pPr>
        <w:pStyle w:val="13"/>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微软雅黑"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31"/>
          <w:szCs w:val="31"/>
          <w:shd w:val="clear" w:fill="FFFFFF"/>
        </w:rPr>
        <w:t>重庆市开州区</w:t>
      </w:r>
      <w:r>
        <w:rPr>
          <w:rFonts w:hint="default" w:ascii="Times New Roman" w:hAnsi="Times New Roman" w:eastAsia="方正仿宋_GBK" w:cs="Times New Roman"/>
          <w:i w:val="0"/>
          <w:iCs w:val="0"/>
          <w:caps w:val="0"/>
          <w:color w:val="333333"/>
          <w:spacing w:val="0"/>
          <w:sz w:val="31"/>
          <w:szCs w:val="31"/>
          <w:shd w:val="clear" w:fill="FFFFFF"/>
          <w:lang w:val="en-US" w:eastAsia="zh-CN"/>
        </w:rPr>
        <w:t>巫山</w:t>
      </w:r>
      <w:r>
        <w:rPr>
          <w:rFonts w:hint="default" w:ascii="Times New Roman" w:hAnsi="Times New Roman" w:eastAsia="方正仿宋_GBK" w:cs="Times New Roman"/>
          <w:i w:val="0"/>
          <w:iCs w:val="0"/>
          <w:caps w:val="0"/>
          <w:color w:val="333333"/>
          <w:spacing w:val="0"/>
          <w:sz w:val="31"/>
          <w:szCs w:val="31"/>
          <w:shd w:val="clear" w:fill="FFFFFF"/>
        </w:rPr>
        <w:t>镇人民政府</w:t>
      </w:r>
      <w:r>
        <w:rPr>
          <w:rFonts w:hint="eastAsia" w:ascii="Times New Roman" w:hAnsi="Times New Roman" w:eastAsia="方正仿宋_GBK" w:cs="Times New Roman"/>
          <w:i w:val="0"/>
          <w:iCs w:val="0"/>
          <w:caps w:val="0"/>
          <w:color w:val="333333"/>
          <w:spacing w:val="0"/>
          <w:sz w:val="31"/>
          <w:szCs w:val="31"/>
          <w:shd w:val="clear" w:fill="FFFFFF"/>
          <w:lang w:eastAsia="zh-CN"/>
        </w:rPr>
        <w:t>（本级）</w:t>
      </w:r>
      <w:r>
        <w:rPr>
          <w:rFonts w:hint="default" w:ascii="Times New Roman" w:hAnsi="Times New Roman" w:eastAsia="方正仿宋_GBK" w:cs="Times New Roman"/>
          <w:i w:val="0"/>
          <w:iCs w:val="0"/>
          <w:caps w:val="0"/>
          <w:color w:val="333333"/>
          <w:spacing w:val="0"/>
          <w:sz w:val="31"/>
          <w:szCs w:val="31"/>
          <w:shd w:val="clear" w:fill="FFFFFF"/>
        </w:rPr>
        <w:t>内设5个办公室，具体设置及主要职责是：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微软雅黑" w:cs="Times New Roman"/>
          <w:i w:val="0"/>
          <w:iCs w:val="0"/>
          <w:caps w:val="0"/>
          <w:color w:val="333333"/>
          <w:spacing w:val="0"/>
          <w:sz w:val="24"/>
          <w:szCs w:val="24"/>
        </w:rPr>
      </w:pPr>
      <w:r>
        <w:rPr>
          <w:rStyle w:val="12"/>
          <w:rFonts w:hint="default" w:ascii="Times New Roman" w:hAnsi="Times New Roman" w:eastAsia="方正仿宋_GBK" w:cs="Times New Roman"/>
          <w:i w:val="0"/>
          <w:iCs w:val="0"/>
          <w:caps w:val="0"/>
          <w:color w:val="333333"/>
          <w:spacing w:val="0"/>
          <w:sz w:val="31"/>
          <w:szCs w:val="31"/>
          <w:shd w:val="clear" w:fill="FFFFFF"/>
        </w:rPr>
        <w:t>1.基层治理综合指挥室。</w:t>
      </w:r>
      <w:r>
        <w:rPr>
          <w:rFonts w:hint="default" w:ascii="Times New Roman" w:hAnsi="Times New Roman" w:eastAsia="方正仿宋_GBK" w:cs="Times New Roman"/>
          <w:i w:val="0"/>
          <w:iCs w:val="0"/>
          <w:caps w:val="0"/>
          <w:color w:val="333333"/>
          <w:spacing w:val="0"/>
          <w:sz w:val="31"/>
          <w:szCs w:val="31"/>
          <w:shd w:val="clear" w:fill="FFFFFF"/>
        </w:rPr>
        <w:t>主要负责综合协调、统筹调度、应急指挥的具体事务工作；负责一体化治理智治平台运行的管理保障，平台接收事项的受理、分析、流转、处置、督办、反馈、考核等工作；负责基层网格建设和管理等工作；负责督查、考评、数字化建设等工作；负责文电、机要、保密、档案、政务公开、值班值守、印章管理、会务等工作；负责后勤保障服务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微软雅黑" w:cs="Times New Roman"/>
          <w:i w:val="0"/>
          <w:iCs w:val="0"/>
          <w:caps w:val="0"/>
          <w:color w:val="333333"/>
          <w:spacing w:val="0"/>
          <w:sz w:val="24"/>
          <w:szCs w:val="24"/>
        </w:rPr>
      </w:pPr>
      <w:r>
        <w:rPr>
          <w:rStyle w:val="12"/>
          <w:rFonts w:hint="default" w:ascii="Times New Roman" w:hAnsi="Times New Roman" w:eastAsia="方正仿宋_GBK" w:cs="Times New Roman"/>
          <w:i w:val="0"/>
          <w:iCs w:val="0"/>
          <w:caps w:val="0"/>
          <w:color w:val="333333"/>
          <w:spacing w:val="0"/>
          <w:sz w:val="31"/>
          <w:szCs w:val="31"/>
          <w:shd w:val="clear" w:fill="FFFFFF"/>
        </w:rPr>
        <w:t>2.党的建设办公室。</w:t>
      </w:r>
      <w:r>
        <w:rPr>
          <w:rFonts w:hint="default" w:ascii="Times New Roman" w:hAnsi="Times New Roman" w:eastAsia="方正仿宋_GBK" w:cs="Times New Roman"/>
          <w:i w:val="0"/>
          <w:iCs w:val="0"/>
          <w:caps w:val="0"/>
          <w:color w:val="333333"/>
          <w:spacing w:val="0"/>
          <w:sz w:val="31"/>
          <w:szCs w:val="31"/>
          <w:shd w:val="clear" w:fill="FFFFFF"/>
        </w:rPr>
        <w:t>主要负责党的政治建设、思想建设、组织建设、作风建设、纪律建设、制度建设和反腐败斗争；负责纪检、组织人事、宣传思想文化、意识形态、统一战线、社会工作、全面深化改革、机构编制、巡察、老干部、精神文明建设、网络信息安全等工作；负责人大工作，政协联络工作；负责群团和关心下一代工作，负责未成年人保护工作的组织、协调、指导、督促，负责家庭暴力预防、家庭教育指导等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微软雅黑" w:cs="Times New Roman"/>
          <w:i w:val="0"/>
          <w:iCs w:val="0"/>
          <w:caps w:val="0"/>
          <w:color w:val="333333"/>
          <w:spacing w:val="0"/>
          <w:sz w:val="24"/>
          <w:szCs w:val="24"/>
        </w:rPr>
      </w:pPr>
      <w:r>
        <w:rPr>
          <w:rStyle w:val="12"/>
          <w:rFonts w:hint="default" w:ascii="Times New Roman" w:hAnsi="Times New Roman" w:eastAsia="方正仿宋_GBK" w:cs="Times New Roman"/>
          <w:i w:val="0"/>
          <w:iCs w:val="0"/>
          <w:caps w:val="0"/>
          <w:color w:val="333333"/>
          <w:spacing w:val="0"/>
          <w:sz w:val="31"/>
          <w:szCs w:val="31"/>
          <w:shd w:val="clear" w:fill="FFFFFF"/>
        </w:rPr>
        <w:t>3.经济发展办公室。</w:t>
      </w:r>
      <w:r>
        <w:rPr>
          <w:rFonts w:hint="default" w:ascii="Times New Roman" w:hAnsi="Times New Roman" w:eastAsia="方正仿宋_GBK" w:cs="Times New Roman"/>
          <w:i w:val="0"/>
          <w:iCs w:val="0"/>
          <w:caps w:val="0"/>
          <w:color w:val="333333"/>
          <w:spacing w:val="0"/>
          <w:sz w:val="31"/>
          <w:szCs w:val="31"/>
          <w:shd w:val="clear" w:fill="FFFFFF"/>
        </w:rPr>
        <w:t>主要负责发展改革、农业农村和乡村振兴、水利、科技、经济和信息化、商务、旅游、经济社会统计、林业、招商引资、供销合作等工作；负责农村经营管理、产业结构调整、农产品质量安全监督管理等工作；负责市场主体培育、营商环境改善、区域协作等工作；承担移民搬迁安置有关后续工作，负责三峡后续项目及对口支援项目的策划、申报、组织实施、资金管理、档案收集整理等工作；负责规划建设、自然资源、生态环保、市政管理、农房建设管理、农村公路建设管理、地灾防治、土地整治和复垦开发管理等工作；负责财政资金及代管资金的收支管理、财政预算、决算及财务报告；负责国有资产管理、政府采购、非税收入管理、惠农资金兑付、审计监督、内部控制、财政资金监督、绩效管理等工作；代理村（社区）会计账务；负责村（社区）财务培训和监督检查等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微软雅黑" w:cs="Times New Roman"/>
          <w:i w:val="0"/>
          <w:iCs w:val="0"/>
          <w:caps w:val="0"/>
          <w:color w:val="333333"/>
          <w:spacing w:val="0"/>
          <w:sz w:val="24"/>
          <w:szCs w:val="24"/>
        </w:rPr>
      </w:pPr>
      <w:r>
        <w:rPr>
          <w:rStyle w:val="12"/>
          <w:rFonts w:hint="default" w:ascii="Times New Roman" w:hAnsi="Times New Roman" w:eastAsia="方正仿宋_GBK" w:cs="Times New Roman"/>
          <w:i w:val="0"/>
          <w:iCs w:val="0"/>
          <w:caps w:val="0"/>
          <w:color w:val="333333"/>
          <w:spacing w:val="0"/>
          <w:sz w:val="31"/>
          <w:szCs w:val="31"/>
          <w:shd w:val="clear" w:fill="FFFFFF"/>
        </w:rPr>
        <w:t>4.民生服务办公室。</w:t>
      </w:r>
      <w:r>
        <w:rPr>
          <w:rFonts w:hint="default" w:ascii="Times New Roman" w:hAnsi="Times New Roman" w:eastAsia="方正仿宋_GBK" w:cs="Times New Roman"/>
          <w:i w:val="0"/>
          <w:iCs w:val="0"/>
          <w:caps w:val="0"/>
          <w:color w:val="333333"/>
          <w:spacing w:val="0"/>
          <w:sz w:val="31"/>
          <w:szCs w:val="31"/>
          <w:shd w:val="clear" w:fill="FFFFFF"/>
        </w:rPr>
        <w:t>主要负责民政、教育、卫生健康、退役军人事务、劳动就业、医疗和社会保障、政务服务、老龄事业、残疾人事业、物业管理、廉租住房保障等工作；负责落实社会保险、社会救助、社会福利、优抚安置等社会保障政策；负责村（居）民委员会换届选举组织实施和指导工作；负责优化基本公共服务资源配置，统筹公共服务设施空间布局，提供优质高效的便民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仿宋_GBK" w:cs="Times New Roman"/>
          <w:sz w:val="32"/>
          <w:highlight w:val="none"/>
        </w:rPr>
      </w:pPr>
      <w:r>
        <w:rPr>
          <w:rStyle w:val="12"/>
          <w:rFonts w:hint="default" w:ascii="Times New Roman" w:hAnsi="Times New Roman" w:eastAsia="方正仿宋_GBK" w:cs="Times New Roman"/>
          <w:i w:val="0"/>
          <w:iCs w:val="0"/>
          <w:caps w:val="0"/>
          <w:color w:val="333333"/>
          <w:spacing w:val="0"/>
          <w:sz w:val="31"/>
          <w:szCs w:val="31"/>
          <w:shd w:val="clear" w:fill="FFFFFF"/>
        </w:rPr>
        <w:t>5.平安法治办公室。</w:t>
      </w:r>
      <w:r>
        <w:rPr>
          <w:rFonts w:hint="default" w:ascii="Times New Roman" w:hAnsi="Times New Roman" w:eastAsia="方正仿宋_GBK" w:cs="Times New Roman"/>
          <w:i w:val="0"/>
          <w:iCs w:val="0"/>
          <w:caps w:val="0"/>
          <w:color w:val="333333"/>
          <w:spacing w:val="0"/>
          <w:sz w:val="31"/>
          <w:szCs w:val="31"/>
          <w:shd w:val="clear" w:fill="FFFFFF"/>
        </w:rPr>
        <w:t>主要负责法治建设、社会治安综合治理、国家安全教育、禁毒和反邪教、信访稳定、矛盾纠纷化解调处工作；统筹做好平安创建、扫黑除恶、人民调解、社区矫正、社会治安专项整治行动等平安建设工作，组织协调流动人口、重点人群服务管理工作；负责安全生产事故类、自然灾害类等突发事件处置和综合防灾减灾救灾工作；负责安全生产综合监督管理工作，协助开展煤矿和非煤矿山、危险化学品、烟花爆竹、乡村道路、消防管理等安全生产日常监管工作；承担食品药品安全等市场监管属地责任；集中行使依法承担、授权或委托的各项行政执法权；协调、配合区级有关部门及派驻机构开展其他领域的联合执法；负责兵役、民兵、国防动员等人民武装工作；完善执法协调、公共法律服务、普法依法治理、网上网下联动化解网络舆情风险等机制，推动平安法治和社会治理工作落细落实。</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1448.27</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val="en-US" w:eastAsia="zh-CN"/>
        </w:rPr>
        <w:t>含</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14.52</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1433.75</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14.52</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减少786.6</w:t>
      </w:r>
      <w:r>
        <w:rPr>
          <w:rFonts w:hint="default" w:ascii="Times New Roman" w:hAnsi="Times New Roman" w:eastAsia="方正仿宋_GBK" w:cs="Times New Roman"/>
          <w:sz w:val="32"/>
          <w:highlight w:val="none"/>
        </w:rPr>
        <w:t>万元，主要是</w:t>
      </w:r>
      <w:r>
        <w:rPr>
          <w:rFonts w:hint="default" w:ascii="Times New Roman" w:hAnsi="Times New Roman" w:eastAsia="方正仿宋_GBK" w:cs="Times New Roman"/>
          <w:sz w:val="32"/>
          <w:highlight w:val="none"/>
          <w:lang w:val="en-US" w:eastAsia="zh-CN"/>
        </w:rPr>
        <w:t>2026年5个事业单位分开独立预算，不在政府统一预算</w:t>
      </w:r>
      <w:r>
        <w:rPr>
          <w:rFonts w:hint="default" w:ascii="Times New Roman" w:hAnsi="Times New Roman" w:eastAsia="方正仿宋_GBK" w:cs="Times New Roman"/>
          <w:sz w:val="32"/>
          <w:highlight w:val="none"/>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1448.27</w:t>
      </w:r>
      <w:r>
        <w:rPr>
          <w:rFonts w:hint="default" w:ascii="Times New Roman" w:hAnsi="Times New Roman" w:eastAsia="方正仿宋_GBK" w:cs="Times New Roman"/>
          <w:sz w:val="32"/>
          <w:highlight w:val="none"/>
        </w:rPr>
        <w:t>万元，其中：一般公共服务支出预算573.4万元，社会保障和就业支出预算116.7万元，卫生健康支出预算46.01万元，节能环保支出预算119.38万元</w:t>
      </w:r>
      <w:r>
        <w:rPr>
          <w:rFonts w:hint="default"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val="en-US" w:eastAsia="zh-CN"/>
        </w:rPr>
        <w:t>城乡社区支出预算77.2万元，</w:t>
      </w:r>
      <w:r>
        <w:rPr>
          <w:rFonts w:hint="default" w:ascii="Times New Roman" w:hAnsi="Times New Roman" w:eastAsia="方正仿宋_GBK" w:cs="Times New Roman"/>
          <w:sz w:val="32"/>
          <w:highlight w:val="none"/>
          <w:lang w:eastAsia="zh-CN"/>
        </w:rPr>
        <w:t>农林水支出</w:t>
      </w:r>
      <w:r>
        <w:rPr>
          <w:rFonts w:hint="default" w:ascii="Times New Roman" w:hAnsi="Times New Roman" w:eastAsia="方正仿宋_GBK" w:cs="Times New Roman"/>
          <w:sz w:val="32"/>
          <w:highlight w:val="none"/>
        </w:rPr>
        <w:t>预算466.96万元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住房保障支出预算48.62万元。支出预算较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减少786.6</w:t>
      </w:r>
      <w:r>
        <w:rPr>
          <w:rFonts w:hint="default" w:ascii="Times New Roman" w:hAnsi="Times New Roman" w:eastAsia="方正仿宋_GBK" w:cs="Times New Roman"/>
          <w:sz w:val="32"/>
          <w:highlight w:val="none"/>
        </w:rPr>
        <w:t>万元，主要是基本支出预算</w:t>
      </w:r>
      <w:r>
        <w:rPr>
          <w:rFonts w:hint="default" w:ascii="Times New Roman" w:hAnsi="Times New Roman" w:eastAsia="方正仿宋_GBK" w:cs="Times New Roman"/>
          <w:sz w:val="32"/>
          <w:highlight w:val="none"/>
          <w:lang w:val="en-US" w:eastAsia="zh-CN"/>
        </w:rPr>
        <w:t>减少848.98</w:t>
      </w:r>
      <w:r>
        <w:rPr>
          <w:rFonts w:hint="default" w:ascii="Times New Roman" w:hAnsi="Times New Roman" w:eastAsia="方正仿宋_GBK" w:cs="Times New Roman"/>
          <w:sz w:val="32"/>
          <w:highlight w:val="none"/>
        </w:rPr>
        <w:t>万元，项目支出预算增加</w:t>
      </w:r>
      <w:r>
        <w:rPr>
          <w:rFonts w:hint="default" w:ascii="Times New Roman" w:hAnsi="Times New Roman" w:eastAsia="方正仿宋_GBK" w:cs="Times New Roman"/>
          <w:sz w:val="32"/>
          <w:highlight w:val="none"/>
          <w:lang w:val="en-US" w:eastAsia="zh-CN"/>
        </w:rPr>
        <w:t>62.38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1433.75</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上年结转</w:t>
      </w:r>
      <w:r>
        <w:rPr>
          <w:rFonts w:hint="eastAsia" w:ascii="Times New Roman" w:hAnsi="Times New Roman" w:eastAsia="方正仿宋_GBK" w:cs="Times New Roman"/>
          <w:sz w:val="32"/>
          <w:highlight w:val="none"/>
          <w:lang w:val="en-US" w:eastAsia="zh-CN"/>
        </w:rPr>
        <w:t>14.52万元，</w:t>
      </w:r>
      <w:r>
        <w:rPr>
          <w:rFonts w:hint="default" w:ascii="Times New Roman" w:hAnsi="Times New Roman" w:eastAsia="方正仿宋_GBK" w:cs="Times New Roman"/>
          <w:sz w:val="32"/>
          <w:highlight w:val="none"/>
        </w:rPr>
        <w:t>一般公共预算财政拨款支出1448.27万元，比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772.05</w:t>
      </w:r>
      <w:r>
        <w:rPr>
          <w:rFonts w:hint="default" w:ascii="Times New Roman" w:hAnsi="Times New Roman" w:eastAsia="方正仿宋_GBK" w:cs="Times New Roman"/>
          <w:sz w:val="32"/>
          <w:highlight w:val="none"/>
        </w:rPr>
        <w:t>万元。其中：基本支出</w:t>
      </w:r>
      <w:r>
        <w:rPr>
          <w:rFonts w:hint="default" w:ascii="Times New Roman" w:hAnsi="Times New Roman" w:eastAsia="方正仿宋_GBK" w:cs="Times New Roman"/>
          <w:sz w:val="32"/>
          <w:highlight w:val="none"/>
          <w:lang w:val="en-US" w:eastAsia="zh-CN"/>
        </w:rPr>
        <w:t>1289.54</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848.98</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2026年5个事业单位分开独立预算</w:t>
      </w:r>
      <w:r>
        <w:rPr>
          <w:rFonts w:hint="default" w:ascii="Times New Roman" w:hAnsi="Times New Roman" w:eastAsia="方正仿宋_GBK" w:cs="Times New Roman"/>
          <w:sz w:val="32"/>
          <w:highlight w:val="none"/>
        </w:rPr>
        <w:t>，主要用于保障在职人员工资福利</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lang w:val="en-US" w:eastAsia="zh-CN"/>
        </w:rPr>
        <w:t>住房公积金缴费</w:t>
      </w:r>
      <w:r>
        <w:rPr>
          <w:rFonts w:hint="default" w:ascii="Times New Roman" w:hAnsi="Times New Roman" w:eastAsia="方正仿宋_GBK" w:cs="Times New Roman"/>
          <w:sz w:val="32"/>
          <w:highlight w:val="none"/>
        </w:rPr>
        <w:t>及社会保险缴费，退休人员补助等，保障部门正常运转的各项商品服务支出；项目支出</w:t>
      </w:r>
      <w:r>
        <w:rPr>
          <w:rFonts w:hint="default" w:ascii="Times New Roman" w:hAnsi="Times New Roman" w:eastAsia="方正仿宋_GBK" w:cs="Times New Roman"/>
          <w:sz w:val="32"/>
          <w:highlight w:val="none"/>
          <w:lang w:val="en-US" w:eastAsia="zh-CN"/>
        </w:rPr>
        <w:t>158.73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62.38</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项目收入增加及项目数量增加</w:t>
      </w:r>
      <w:r>
        <w:rPr>
          <w:rFonts w:hint="default" w:ascii="Times New Roman" w:hAnsi="Times New Roman" w:eastAsia="方正仿宋_GBK" w:cs="Times New Roman"/>
          <w:sz w:val="32"/>
          <w:highlight w:val="none"/>
        </w:rPr>
        <w:t>等，主要用于</w:t>
      </w:r>
      <w:r>
        <w:rPr>
          <w:rFonts w:hint="default" w:ascii="Times New Roman" w:hAnsi="Times New Roman" w:eastAsia="方正仿宋_GBK" w:cs="Times New Roman"/>
          <w:sz w:val="32"/>
          <w:highlight w:val="none"/>
          <w:lang w:val="en-US" w:eastAsia="zh-CN"/>
        </w:rPr>
        <w:t>老党员补助、乡镇共同事权支出责任支出、场镇保洁、垃圾清运</w:t>
      </w:r>
      <w:r>
        <w:rPr>
          <w:rFonts w:hint="default" w:ascii="Times New Roman" w:hAnsi="Times New Roman" w:eastAsia="方正仿宋_GBK" w:cs="Times New Roman"/>
          <w:sz w:val="32"/>
          <w:highlight w:val="none"/>
        </w:rPr>
        <w:t>等重点工作。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atLeast"/>
        <w:ind w:left="0" w:right="0" w:firstLine="645"/>
        <w:textAlignment w:val="auto"/>
        <w:rPr>
          <w:rFonts w:hint="default"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lang w:val="en-US" w:eastAsia="zh-CN"/>
        </w:rPr>
        <w:t>2026年政府性基金预算财政拨款收入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lang w:val="en-US" w:eastAsia="zh-CN"/>
        </w:rPr>
        <w:t>万元，政府性基金预算财政拨款支出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lang w:val="en-US" w:eastAsia="zh-CN"/>
        </w:rPr>
        <w:t>万元，比2025年减少</w:t>
      </w:r>
      <w:r>
        <w:rPr>
          <w:rFonts w:hint="eastAsia" w:ascii="Times New Roman" w:hAnsi="Times New Roman" w:eastAsia="方正仿宋_GBK" w:cs="Times New Roman"/>
          <w:sz w:val="32"/>
          <w:highlight w:val="none"/>
          <w:lang w:val="en-US" w:eastAsia="zh-CN"/>
        </w:rPr>
        <w:t>14.55</w:t>
      </w:r>
      <w:r>
        <w:rPr>
          <w:rFonts w:hint="default" w:ascii="Times New Roman" w:hAnsi="Times New Roman" w:eastAsia="方正仿宋_GBK" w:cs="Times New Roman"/>
          <w:sz w:val="32"/>
          <w:highlight w:val="none"/>
          <w:lang w:val="en-US" w:eastAsia="zh-CN"/>
        </w:rPr>
        <w:t>万元，主要原因是2026年无使用政府性基金预算拨款安排的支出。</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kinsoku/>
        <w:wordWrap/>
        <w:overflowPunct/>
        <w:topLinePunct w:val="0"/>
        <w:autoSpaceDE/>
        <w:autoSpaceDN/>
        <w:bidi w:val="0"/>
        <w:adjustRightInd/>
        <w:snapToGrid/>
        <w:spacing w:line="560" w:lineRule="exact"/>
        <w:ind w:left="0"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default" w:ascii="Times New Roman" w:hAnsi="Times New Roman" w:eastAsia="方正仿宋_GBK" w:cs="Times New Roman"/>
          <w:sz w:val="32"/>
          <w:highlight w:val="none"/>
          <w:lang w:val="en-US" w:eastAsia="zh-CN"/>
        </w:rPr>
        <w:t>5.9</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4.99</w:t>
      </w:r>
      <w:r>
        <w:rPr>
          <w:rFonts w:hint="default" w:ascii="Times New Roman" w:hAnsi="Times New Roman" w:eastAsia="方正仿宋_GBK" w:cs="Times New Roman"/>
          <w:sz w:val="32"/>
          <w:highlight w:val="none"/>
        </w:rPr>
        <w:t>万元。其中：因公出国（境）费用</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val="en-US" w:eastAsia="zh-CN"/>
        </w:rPr>
        <w:t>与2025年相比无变化</w:t>
      </w:r>
      <w:r>
        <w:rPr>
          <w:rFonts w:hint="default" w:ascii="Times New Roman" w:hAnsi="Times New Roman" w:eastAsia="方正仿宋_GBK" w:cs="Times New Roman"/>
          <w:sz w:val="32"/>
          <w:highlight w:val="none"/>
        </w:rPr>
        <w:t>，主要原因是</w:t>
      </w:r>
      <w:r>
        <w:rPr>
          <w:rFonts w:hint="default" w:ascii="Times New Roman" w:hAnsi="Times New Roman" w:eastAsia="方正仿宋_GBK" w:cs="Times New Roman"/>
          <w:sz w:val="32"/>
          <w:highlight w:val="none"/>
          <w:lang w:val="en-US" w:eastAsia="zh-CN"/>
        </w:rPr>
        <w:t>无此项支出需求</w:t>
      </w:r>
      <w:r>
        <w:rPr>
          <w:rFonts w:hint="default" w:ascii="Times New Roman" w:hAnsi="Times New Roman" w:eastAsia="方正仿宋_GBK" w:cs="Times New Roman"/>
          <w:sz w:val="32"/>
          <w:highlight w:val="none"/>
        </w:rPr>
        <w:t>；公务接待费</w:t>
      </w:r>
      <w:r>
        <w:rPr>
          <w:rFonts w:hint="default" w:ascii="Times New Roman" w:hAnsi="Times New Roman" w:eastAsia="方正仿宋_GBK" w:cs="Times New Roman"/>
          <w:sz w:val="32"/>
          <w:highlight w:val="none"/>
          <w:lang w:val="en-US" w:eastAsia="zh-CN"/>
        </w:rPr>
        <w:t>1.9</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val="en-US" w:eastAsia="zh-CN"/>
        </w:rPr>
        <w:t>与2025年相比无变化</w:t>
      </w:r>
      <w:r>
        <w:rPr>
          <w:rFonts w:hint="default" w:ascii="Times New Roman" w:hAnsi="Times New Roman" w:eastAsia="方正仿宋_GBK" w:cs="Times New Roman"/>
          <w:sz w:val="32"/>
          <w:highlight w:val="none"/>
        </w:rPr>
        <w:t>；公务用车运行维护费</w:t>
      </w:r>
      <w:r>
        <w:rPr>
          <w:rFonts w:hint="default" w:ascii="Times New Roman" w:hAnsi="Times New Roman" w:eastAsia="方正仿宋_GBK" w:cs="Times New Roman"/>
          <w:sz w:val="32"/>
          <w:highlight w:val="none"/>
          <w:lang w:val="en-US" w:eastAsia="zh-CN"/>
        </w:rPr>
        <w:t>4</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4.99</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2026年5个事业单位独立预算，公务用车费用只算行政单位用车</w:t>
      </w:r>
      <w:r>
        <w:rPr>
          <w:rFonts w:hint="default" w:ascii="Times New Roman" w:hAnsi="Times New Roman" w:eastAsia="方正仿宋_GBK" w:cs="Times New Roman"/>
          <w:sz w:val="32"/>
          <w:highlight w:val="none"/>
        </w:rPr>
        <w:t>；公务用车购置费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val="en-US" w:eastAsia="zh-CN"/>
        </w:rPr>
        <w:t>与2025年相比无变化</w:t>
      </w:r>
      <w:r>
        <w:rPr>
          <w:rFonts w:hint="eastAsia" w:ascii="Times New Roman" w:hAnsi="Times New Roman" w:eastAsia="方正仿宋_GBK" w:cs="Times New Roman"/>
          <w:sz w:val="32"/>
          <w:highlight w:val="none"/>
          <w:lang w:val="en-US" w:eastAsia="zh-CN"/>
        </w:rPr>
        <w:t>，</w:t>
      </w:r>
      <w:r>
        <w:rPr>
          <w:rFonts w:hint="default" w:ascii="Times New Roman" w:hAnsi="Times New Roman" w:eastAsia="方正仿宋_GBK" w:cs="Times New Roman"/>
          <w:sz w:val="32"/>
          <w:highlight w:val="none"/>
        </w:rPr>
        <w:t>主要原因是</w:t>
      </w:r>
      <w:r>
        <w:rPr>
          <w:rFonts w:hint="default" w:ascii="Times New Roman" w:hAnsi="Times New Roman" w:eastAsia="方正仿宋_GBK" w:cs="Times New Roman"/>
          <w:sz w:val="32"/>
          <w:highlight w:val="none"/>
          <w:lang w:val="en-US" w:eastAsia="zh-CN"/>
        </w:rPr>
        <w:t>无购车计划</w:t>
      </w:r>
      <w:r>
        <w:rPr>
          <w:rFonts w:hint="default" w:ascii="Times New Roman" w:hAnsi="Times New Roman" w:eastAsia="方正仿宋_GBK" w:cs="Times New Roman"/>
          <w:sz w:val="32"/>
          <w:highlight w:val="none"/>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b/>
          <w:sz w:val="32"/>
          <w:highlight w:val="none"/>
        </w:rPr>
        <w:t>（一）机关运行经费。</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年一般公共预算财政拨款运行经费</w:t>
      </w:r>
      <w:r>
        <w:rPr>
          <w:rFonts w:hint="default" w:ascii="Times New Roman" w:hAnsi="Times New Roman" w:eastAsia="方正仿宋_GBK" w:cs="Times New Roman"/>
          <w:sz w:val="32"/>
          <w:highlight w:val="none"/>
          <w:lang w:val="en-US" w:eastAsia="zh-CN"/>
        </w:rPr>
        <w:t>604.53</w:t>
      </w:r>
      <w:r>
        <w:rPr>
          <w:rFonts w:hint="default" w:ascii="Times New Roman" w:hAnsi="Times New Roman" w:eastAsia="方正仿宋_GBK" w:cs="Times New Roman"/>
          <w:sz w:val="32"/>
          <w:highlight w:val="none"/>
        </w:rPr>
        <w:t>万元，比上年</w:t>
      </w:r>
      <w:r>
        <w:rPr>
          <w:rFonts w:hint="default" w:ascii="Times New Roman" w:hAnsi="Times New Roman" w:eastAsia="方正仿宋_GBK" w:cs="Times New Roman"/>
          <w:sz w:val="32"/>
          <w:highlight w:val="none"/>
          <w:lang w:val="en-US" w:eastAsia="zh-CN"/>
        </w:rPr>
        <w:t>减少 64.73</w:t>
      </w:r>
      <w:r>
        <w:rPr>
          <w:rFonts w:hint="default" w:ascii="Times New Roman" w:hAnsi="Times New Roman" w:eastAsia="方正仿宋_GBK" w:cs="Times New Roman"/>
          <w:sz w:val="32"/>
          <w:highlight w:val="none"/>
        </w:rPr>
        <w:t>万元，主要原因为</w:t>
      </w:r>
      <w:r>
        <w:rPr>
          <w:rFonts w:hint="default" w:ascii="Times New Roman" w:hAnsi="Times New Roman" w:eastAsia="方正仿宋_GBK" w:cs="Times New Roman"/>
          <w:sz w:val="32"/>
          <w:highlight w:val="none"/>
          <w:lang w:val="en-US" w:eastAsia="zh-CN"/>
        </w:rPr>
        <w:t>2026年5个事业单位独立预算</w:t>
      </w:r>
      <w:r>
        <w:rPr>
          <w:rFonts w:hint="default" w:ascii="Times New Roman" w:hAnsi="Times New Roman" w:eastAsia="方正仿宋_GBK" w:cs="Times New Roman"/>
          <w:sz w:val="32"/>
          <w:highlight w:val="none"/>
        </w:rPr>
        <w:t>。主要用于办公费、印刷费、邮电费、水电费、差旅费、会议费、培训费</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lang w:val="en-US" w:eastAsia="zh-CN"/>
        </w:rPr>
        <w:t>公务接待、工会经费、公务用车运行维护</w:t>
      </w:r>
      <w:r>
        <w:rPr>
          <w:rFonts w:hint="default" w:ascii="Times New Roman" w:hAnsi="Times New Roman" w:eastAsia="方正仿宋_GBK" w:cs="Times New Roman"/>
          <w:sz w:val="32"/>
          <w:highlight w:val="none"/>
        </w:rPr>
        <w:t>及其他</w:t>
      </w:r>
      <w:r>
        <w:rPr>
          <w:rFonts w:hint="default" w:ascii="Times New Roman" w:hAnsi="Times New Roman" w:eastAsia="方正仿宋_GBK" w:cs="Times New Roman"/>
          <w:sz w:val="32"/>
          <w:highlight w:val="none"/>
          <w:lang w:val="en-US" w:eastAsia="zh-CN"/>
        </w:rPr>
        <w:t>交通</w:t>
      </w:r>
      <w:r>
        <w:rPr>
          <w:rFonts w:hint="default" w:ascii="Times New Roman" w:hAnsi="Times New Roman" w:eastAsia="方正仿宋_GBK" w:cs="Times New Roman"/>
          <w:sz w:val="32"/>
          <w:highlight w:val="none"/>
        </w:rPr>
        <w:t>等。</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所属各预算单位政府采购预算总额</w:t>
      </w:r>
      <w:r>
        <w:rPr>
          <w:rFonts w:hint="default" w:ascii="Times New Roman" w:hAnsi="Times New Roman" w:eastAsia="方正仿宋_GBK" w:cs="Times New Roman"/>
          <w:sz w:val="32"/>
          <w:highlight w:val="none"/>
          <w:lang w:val="en-US" w:eastAsia="zh-CN"/>
        </w:rPr>
        <w:t>3.55</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3.55</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default" w:ascii="Times New Roman" w:hAnsi="Times New Roman" w:eastAsia="方正仿宋_GBK" w:cs="Times New Roman"/>
          <w:sz w:val="32"/>
          <w:highlight w:val="none"/>
          <w:lang w:val="en-US" w:eastAsia="zh-CN"/>
        </w:rPr>
        <w:t>3.55</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3.55</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default" w:ascii="Times New Roman" w:hAnsi="Times New Roman" w:eastAsia="方正仿宋_GBK" w:cs="Times New Roman"/>
          <w:color w:val="000000"/>
          <w:sz w:val="32"/>
          <w:highlight w:val="none"/>
          <w:lang w:val="en-US" w:eastAsia="zh-CN"/>
        </w:rPr>
        <w:t>144.21</w:t>
      </w:r>
      <w:r>
        <w:rPr>
          <w:rFonts w:hint="default" w:ascii="Times New Roman" w:hAnsi="Times New Roman" w:eastAsia="方正仿宋_GBK" w:cs="Times New Roman"/>
          <w:color w:val="000000"/>
          <w:sz w:val="32"/>
          <w:highlight w:val="none"/>
        </w:rPr>
        <w:t>万元。</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年12月，单位共有车辆</w:t>
      </w:r>
      <w:r>
        <w:rPr>
          <w:rFonts w:hint="default" w:ascii="Times New Roman" w:hAnsi="Times New Roman" w:eastAsia="方正仿宋_GBK" w:cs="Times New Roman"/>
          <w:color w:val="000000"/>
          <w:sz w:val="32"/>
          <w:highlight w:val="none"/>
          <w:lang w:val="en-US" w:eastAsia="zh-CN"/>
        </w:rPr>
        <w:t>3</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2</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pStyle w:val="13"/>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highlight w:val="none"/>
        </w:rPr>
        <w:t>六、专业性名词解释</w:t>
      </w:r>
    </w:p>
    <w:p>
      <w:pPr>
        <w:pStyle w:val="13"/>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13"/>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13"/>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13"/>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default" w:ascii="Times New Roman" w:hAnsi="Times New Roman" w:eastAsia="方正仿宋_GBK" w:cs="Times New Roman"/>
          <w:sz w:val="32"/>
          <w:szCs w:val="32"/>
          <w:highlight w:val="none"/>
          <w:lang w:eastAsia="zh-CN"/>
        </w:rPr>
        <w:t>重庆市开州区巫山镇人民政府（本级）</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sz w:val="32"/>
          <w:szCs w:val="32"/>
          <w:highlight w:val="none"/>
        </w:rPr>
        <w:t>部门预算公开联系人：</w:t>
      </w:r>
      <w:r>
        <w:rPr>
          <w:rFonts w:hint="default" w:ascii="Times New Roman" w:hAnsi="Times New Roman" w:eastAsia="方正仿宋_GBK" w:cs="Times New Roman"/>
          <w:sz w:val="32"/>
          <w:szCs w:val="32"/>
          <w:highlight w:val="none"/>
          <w:lang w:val="en-US" w:eastAsia="zh-CN"/>
        </w:rPr>
        <w:t>周玉明</w:t>
      </w:r>
      <w:r>
        <w:rPr>
          <w:rFonts w:hint="default" w:ascii="Times New Roman" w:hAnsi="Times New Roman" w:eastAsia="方正仿宋_GBK" w:cs="Times New Roman"/>
          <w:sz w:val="32"/>
          <w:szCs w:val="32"/>
          <w:highlight w:val="none"/>
        </w:rPr>
        <w:t xml:space="preserve">  联系方式：023-</w:t>
      </w:r>
      <w:r>
        <w:rPr>
          <w:rFonts w:hint="default" w:ascii="Times New Roman" w:hAnsi="Times New Roman" w:eastAsia="方正仿宋_GBK" w:cs="Times New Roman"/>
          <w:sz w:val="32"/>
          <w:szCs w:val="32"/>
          <w:highlight w:val="none"/>
          <w:lang w:val="en-US" w:eastAsia="zh-CN"/>
        </w:rPr>
        <w:t>52869001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重庆市开州区巫山镇人民政府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sz w:val="32"/>
          <w:szCs w:val="32"/>
          <w:highlight w:val="none"/>
        </w:rPr>
      </w:pPr>
    </w:p>
    <w:p>
      <w:pPr>
        <w:rPr>
          <w:rFonts w:hint="default" w:ascii="Times New Roman" w:hAnsi="Times New Roman" w:cs="Times New Roman"/>
        </w:rPr>
      </w:pPr>
    </w:p>
    <w:p>
      <w:pPr>
        <w:pStyle w:val="3"/>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ascii="Times New Roman" w:hAnsi="Times New Roman" w:cs="Times New Roman"/>
        </w:rPr>
      </w:pPr>
    </w:p>
    <w:p>
      <w:pPr>
        <w:pStyle w:val="3"/>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ascii="Times New Roman" w:hAnsi="Times New Roman" w:cs="Times New Roman"/>
        </w:rPr>
      </w:pPr>
    </w:p>
    <w:p>
      <w:pPr>
        <w:pStyle w:val="3"/>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ascii="Times New Roman" w:hAnsi="Times New Roman" w:cs="Times New Roman"/>
        </w:rPr>
      </w:pPr>
    </w:p>
    <w:p>
      <w:pPr>
        <w:pStyle w:val="3"/>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ascii="Times New Roman" w:hAnsi="Times New Roman" w:cs="Times New Roman"/>
        </w:rPr>
      </w:pPr>
    </w:p>
    <w:p>
      <w:pPr>
        <w:pStyle w:val="3"/>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ascii="Times New Roman" w:hAnsi="Times New Roman" w:cs="Times New Roman"/>
        </w:rPr>
      </w:pPr>
    </w:p>
    <w:p>
      <w:pPr>
        <w:pStyle w:val="3"/>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ascii="Times New Roman" w:hAnsi="Times New Roman" w:cs="Times New Roman"/>
        </w:rPr>
      </w:pPr>
      <w:bookmarkStart w:id="0" w:name="_GoBack"/>
      <w:bookmarkEnd w:id="0"/>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bidi w:val="0"/>
        <w:rPr>
          <w:rFonts w:hint="default"/>
        </w:rPr>
      </w:pPr>
    </w:p>
    <w:p>
      <w:pPr>
        <w:rPr>
          <w:rFonts w:hint="default"/>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480" w:lineRule="exact"/>
        <w:ind w:firstLine="280" w:firstLineChars="100"/>
        <w:textAlignment w:val="auto"/>
        <w:rPr>
          <w:rFonts w:hint="default" w:ascii="Times New Roman" w:hAnsi="Times New Roman" w:cs="Times New Roman"/>
        </w:rPr>
      </w:pPr>
      <w:r>
        <w:rPr>
          <w:rFonts w:hint="default" w:ascii="Times New Roman" w:hAnsi="Times New Roman" w:eastAsia="方正仿宋_GBK" w:cs="Times New Roman"/>
          <w:sz w:val="28"/>
          <w:szCs w:val="28"/>
        </w:rPr>
        <w:t>重庆市开州区</w:t>
      </w:r>
      <w:r>
        <w:rPr>
          <w:rFonts w:hint="default" w:ascii="Times New Roman" w:hAnsi="Times New Roman" w:eastAsia="方正仿宋_GBK" w:cs="Times New Roman"/>
          <w:sz w:val="28"/>
          <w:szCs w:val="28"/>
          <w:lang w:eastAsia="zh-CN"/>
        </w:rPr>
        <w:t>巫山</w:t>
      </w:r>
      <w:r>
        <w:rPr>
          <w:rFonts w:hint="default" w:ascii="Times New Roman" w:hAnsi="Times New Roman" w:eastAsia="方正仿宋_GBK" w:cs="Times New Roman"/>
          <w:sz w:val="28"/>
          <w:szCs w:val="28"/>
        </w:rPr>
        <w:t>镇</w:t>
      </w:r>
      <w:r>
        <w:rPr>
          <w:rFonts w:hint="default" w:ascii="Times New Roman" w:hAnsi="Times New Roman" w:eastAsia="方正仿宋_GBK" w:cs="Times New Roman"/>
          <w:sz w:val="28"/>
          <w:szCs w:val="28"/>
          <w:lang w:eastAsia="zh-CN"/>
        </w:rPr>
        <w:t>基层治理综合指挥室</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 w:eastAsia="zh-CN"/>
        </w:rPr>
        <w:t>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日印</w:t>
      </w:r>
    </w:p>
    <w:sectPr>
      <w:footerReference r:id="rId3" w:type="default"/>
      <w:pgSz w:w="11906" w:h="16838"/>
      <w:pgMar w:top="2154" w:right="1474" w:bottom="204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BD8BD11-0828-4B3D-9085-A987825A2B8D}"/>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2" w:fontKey="{D10040F0-8748-46E2-AF1E-71DBB21531B0}"/>
  </w:font>
  <w:font w:name="方正小标宋简体">
    <w:panose1 w:val="03000509000000000000"/>
    <w:charset w:val="86"/>
    <w:family w:val="auto"/>
    <w:pitch w:val="default"/>
    <w:sig w:usb0="00000000" w:usb1="00000000" w:usb2="00000000" w:usb3="00000000" w:csb0="00000000" w:csb1="00000000"/>
    <w:embedRegular r:id="rId3" w:fontKey="{0E607709-59E8-4BA7-B799-1E2E1664E742}"/>
  </w:font>
  <w:font w:name="方正小标宋_GBK">
    <w:panose1 w:val="03000509000000000000"/>
    <w:charset w:val="86"/>
    <w:family w:val="auto"/>
    <w:pitch w:val="default"/>
    <w:sig w:usb0="00000001" w:usb1="080E0000" w:usb2="00000000" w:usb3="00000000" w:csb0="00040000" w:csb1="00000000"/>
    <w:embedRegular r:id="rId4" w:fontKey="{E4733460-6420-40D7-AC3B-19557E6F7614}"/>
  </w:font>
  <w:font w:name="方正仿宋_GBK">
    <w:panose1 w:val="03000509000000000000"/>
    <w:charset w:val="86"/>
    <w:family w:val="auto"/>
    <w:pitch w:val="default"/>
    <w:sig w:usb0="00000001" w:usb1="080E0000" w:usb2="00000000" w:usb3="00000000" w:csb0="00040000" w:csb1="00000000"/>
    <w:embedRegular r:id="rId5" w:fontKey="{C0D7E5B0-0913-4B63-A518-3881F0867353}"/>
  </w:font>
  <w:font w:name="方正楷体_GBK">
    <w:panose1 w:val="03000509000000000000"/>
    <w:charset w:val="86"/>
    <w:family w:val="auto"/>
    <w:pitch w:val="default"/>
    <w:sig w:usb0="00000001" w:usb1="080E0000" w:usb2="00000000" w:usb3="00000000" w:csb0="00040000" w:csb1="00000000"/>
    <w:embedRegular r:id="rId6" w:fontKey="{E0BCB87C-20AE-419A-8F37-A1C031FE0D6C}"/>
  </w:font>
  <w:font w:name="华文中宋">
    <w:panose1 w:val="02010600040101010101"/>
    <w:charset w:val="86"/>
    <w:family w:val="auto"/>
    <w:pitch w:val="default"/>
    <w:sig w:usb0="00000000" w:usb1="00000000" w:usb2="00000000" w:usb3="00000000" w:csb0="00000000" w:csb1="00000000"/>
    <w:embedRegular r:id="rId7" w:fontKey="{D60A730E-EBFC-4C49-AD85-AE84C0FA4212}"/>
  </w:font>
  <w:font w:name="微软雅黑">
    <w:panose1 w:val="020B0503020204020204"/>
    <w:charset w:val="86"/>
    <w:family w:val="auto"/>
    <w:pitch w:val="default"/>
    <w:sig w:usb0="80000287" w:usb1="2ACF3C50" w:usb2="00000016" w:usb3="00000000" w:csb0="0004001F" w:csb1="00000000"/>
    <w:embedRegular r:id="rId8" w:fontKey="{C9E18AB9-ECB7-41B6-A717-764CCC8CCC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00E8"/>
    <w:rsid w:val="0491260D"/>
    <w:rsid w:val="11E37320"/>
    <w:rsid w:val="16551F93"/>
    <w:rsid w:val="18301D74"/>
    <w:rsid w:val="21A165ED"/>
    <w:rsid w:val="23180296"/>
    <w:rsid w:val="23333275"/>
    <w:rsid w:val="2DB91332"/>
    <w:rsid w:val="2F515443"/>
    <w:rsid w:val="388C7258"/>
    <w:rsid w:val="395B30CE"/>
    <w:rsid w:val="3E1ECCB7"/>
    <w:rsid w:val="478B7CAC"/>
    <w:rsid w:val="4A971B6D"/>
    <w:rsid w:val="4C300C14"/>
    <w:rsid w:val="5264494A"/>
    <w:rsid w:val="5F265461"/>
    <w:rsid w:val="6FD41396"/>
    <w:rsid w:val="72483928"/>
    <w:rsid w:val="742453BB"/>
    <w:rsid w:val="79FA0BA6"/>
    <w:rsid w:val="7CEBE6CC"/>
    <w:rsid w:val="7FFA6946"/>
    <w:rsid w:val="D7BBA4B2"/>
    <w:rsid w:val="EED37F2B"/>
    <w:rsid w:val="EFAFBD3F"/>
    <w:rsid w:val="F33F3497"/>
    <w:rsid w:val="F7CF07C1"/>
    <w:rsid w:val="FDCAF42A"/>
    <w:rsid w:val="FDEE1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
    <w:name w:val="Body Text"/>
    <w:basedOn w:val="1"/>
    <w:next w:val="1"/>
    <w:unhideWhenUsed/>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4">
    <w:name w:val="Normal Indent"/>
    <w:basedOn w:val="1"/>
    <w:next w:val="1"/>
    <w:qFormat/>
    <w:uiPriority w:val="0"/>
    <w:pPr>
      <w:ind w:firstLine="567"/>
    </w:pPr>
    <w:rPr>
      <w:rFonts w:eastAsia="宋体"/>
      <w:sz w:val="21"/>
      <w:szCs w:val="24"/>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styleId="1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4172</Words>
  <Characters>4466</Characters>
  <Lines>0</Lines>
  <Paragraphs>0</Paragraphs>
  <TotalTime>3</TotalTime>
  <ScaleCrop>false</ScaleCrop>
  <LinksUpToDate>false</LinksUpToDate>
  <CharactersWithSpaces>4544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2026-02-04T22:47:00Z</dcterms:created>
  <dc:creator>Administrator</dc:creator>
  <cp:lastModifiedBy>彭剑</cp:lastModifiedBy>
  <cp:lastPrinted>2026-03-03T03:41:00Z</cp:lastPrinted>
  <dcterms:modified xsi:type="dcterms:W3CDTF">2026-03-12T03:06:02Z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KSOTemplateDocerSaveRecord">
    <vt:lpwstr>eyJoZGlkIjoiZWI4OGM0MGJkNmZlMjk4MmJkNzA4NmVhYjg4NzFmMmEiLCJ1c2VySWQiOiI1MzYyNjE4MDUifQ==</vt:lpwstr>
  </property>
  <property fmtid="{D5CDD505-2E9C-101B-9397-08002B2CF9AE}" pid="4" name="ICV">
    <vt:lpwstr>C531BACE642944598E3032F7331550E6_12</vt:lpwstr>
  </property>
</Properties>
</file>