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Layout w:type="fixed"/>
        <w:tblCellMar>
          <w:top w:w="0" w:type="dxa"/>
          <w:left w:w="108" w:type="dxa"/>
          <w:bottom w:w="0" w:type="dxa"/>
          <w:right w:w="108" w:type="dxa"/>
        </w:tblCellMar>
      </w:tblPr>
      <w:tblGrid>
        <w:gridCol w:w="8880"/>
      </w:tblGrid>
      <w:tr>
        <w:tblPrEx>
          <w:tblCellMar>
            <w:top w:w="0" w:type="dxa"/>
            <w:left w:w="108" w:type="dxa"/>
            <w:bottom w:w="0" w:type="dxa"/>
            <w:right w:w="108" w:type="dxa"/>
          </w:tblCellMar>
        </w:tblPrEx>
        <w:trPr>
          <w:trHeight w:val="600" w:hRule="atLeast"/>
          <w:jc w:val="center"/>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00" w:hRule="atLeast"/>
          <w:jc w:val="center"/>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47" w:hRule="exact"/>
          <w:jc w:val="center"/>
        </w:trPr>
        <w:tc>
          <w:tcPr>
            <w:tcW w:w="8880" w:type="dxa"/>
            <w:noWrap w:val="0"/>
            <w:vAlign w:val="center"/>
          </w:tcPr>
          <w:p>
            <w:pPr>
              <w:widowControl/>
              <w:jc w:val="center"/>
              <w:textAlignment w:val="baseline"/>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113" w:hRule="exact"/>
          <w:jc w:val="center"/>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b/>
                <w:color w:val="FF3300"/>
                <w:spacing w:val="23"/>
                <w:w w:val="50"/>
                <w:sz w:val="120"/>
                <w:szCs w:val="120"/>
              </w:rPr>
            </w:pPr>
            <w:r>
              <w:rPr>
                <w:rFonts w:hint="default" w:ascii="Times New Roman" w:hAnsi="Times New Roman" w:eastAsia="方正小标宋_GBK" w:cs="Times New Roman"/>
                <w:b/>
                <w:color w:val="FF3300"/>
                <w:spacing w:val="23"/>
                <w:w w:val="50"/>
                <w:sz w:val="120"/>
                <w:szCs w:val="120"/>
              </w:rPr>
              <w:t>重庆市开州区岳溪镇人民政府</w:t>
            </w:r>
          </w:p>
          <w:p>
            <w:pPr>
              <w:widowControl/>
              <w:spacing w:line="1000" w:lineRule="exact"/>
              <w:jc w:val="center"/>
              <w:textAlignment w:val="baseline"/>
              <w:rPr>
                <w:rFonts w:hint="default" w:ascii="Times New Roman" w:hAnsi="Times New Roman" w:eastAsia="仿宋_GB2312" w:cs="Times New Roman"/>
                <w:color w:val="FF3300"/>
                <w:spacing w:val="20"/>
                <w:w w:val="50"/>
                <w:sz w:val="32"/>
                <w:szCs w:val="32"/>
              </w:rPr>
            </w:pPr>
          </w:p>
          <w:p>
            <w:pPr>
              <w:widowControl/>
              <w:jc w:val="center"/>
              <w:textAlignment w:val="baseline"/>
              <w:rPr>
                <w:rFonts w:hint="default" w:ascii="Times New Roman" w:hAnsi="Times New Roman" w:eastAsia="方正小标宋_GBK" w:cs="Times New Roman"/>
                <w:b/>
                <w:color w:val="FF3300"/>
                <w:spacing w:val="20"/>
                <w:w w:val="50"/>
                <w:sz w:val="124"/>
                <w:szCs w:val="124"/>
              </w:rPr>
            </w:pPr>
          </w:p>
        </w:tc>
      </w:tr>
      <w:tr>
        <w:tblPrEx>
          <w:tblCellMar>
            <w:top w:w="0" w:type="dxa"/>
            <w:left w:w="108" w:type="dxa"/>
            <w:bottom w:w="0" w:type="dxa"/>
            <w:right w:w="108" w:type="dxa"/>
          </w:tblCellMar>
        </w:tblPrEx>
        <w:trPr>
          <w:trHeight w:val="1211" w:hRule="exact"/>
          <w:jc w:val="center"/>
        </w:trPr>
        <w:tc>
          <w:tcPr>
            <w:tcW w:w="8880" w:type="dxa"/>
            <w:noWrap w:val="0"/>
            <w:vAlign w:val="bottom"/>
          </w:tcPr>
          <w:p>
            <w:pPr>
              <w:widowControl/>
              <w:spacing w:line="540" w:lineRule="exact"/>
              <w:ind w:firstLine="260" w:firstLineChars="50"/>
              <w:textAlignment w:val="baseline"/>
              <w:rPr>
                <w:rFonts w:hint="default" w:ascii="Times New Roman" w:hAnsi="Times New Roman" w:eastAsia="方正仿宋_GBK" w:cs="Times New Roman"/>
                <w:color w:val="FF3300"/>
                <w:sz w:val="52"/>
                <w:szCs w:val="52"/>
                <w:lang w:eastAsia="zh-CN"/>
              </w:rPr>
            </w:pPr>
            <w:r>
              <w:rPr>
                <w:rFonts w:hint="default"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397510</wp:posOffset>
                      </wp:positionV>
                      <wp:extent cx="5602605" cy="571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2605" cy="571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pt;margin-top:31.3pt;height:0.45pt;width:441.15pt;z-index:251660288;mso-width-relative:page;mso-height-relative:page;" filled="f" stroked="t" coordsize="21600,21600" o:gfxdata="UEsDBAoAAAAAAIdO4kAAAAAAAAAAAAAAAAAEAAAAZHJzL1BLAwQUAAAACACHTuJAJSUNYdgAAAAJ&#10;AQAADwAAAGRycy9kb3ducmV2LnhtbE2PTU/DMAyG70j8h8hI3LY0RZSqNJ0AwQ0JUT52zVrTVGuc&#10;qsm67t9jTuxo+9Hr5y03ixvEjFPoPWlQ6wQEUuPbnjoNnx8vqxxEiIZaM3hCDScMsKkuL0pTtP5I&#10;7zjXsRMcQqEwGmyMYyFlaCw6E9Z+ROLbj5+ciTxOnWwnc+RwN8g0STLpTE/8wZoRnyw2+/rgNCzf&#10;+YPdvsbHZ//1ZvfLtnZzetL6+kol9yAiLvEfhj99VoeKnXb+QG0Qg4aVUimjGrI0A8FAfqcUiB0v&#10;bm5BVqU8b1D9AlBLAwQUAAAACACHTuJA4gViCv0BAAD2AwAADgAAAGRycy9lMm9Eb2MueG1srVNN&#10;jtMwFN4jcQfLe5q0UjujqOksppQNgkrAAV5tJ7HkP9lu016CCyCxgxVL9tyGmWPw7IQyzGy6mCyc&#10;Z7/Pn9/3+Xl5c9SKHIQP0pqaTiclJcIwy6Vpa/rp4+bVNSUhguGgrBE1PYlAb1YvXyx7V4mZ7azi&#10;whMkMaHqXU27GF1VFIF1QkOYWCcMJhvrNUSc+rbgHnpk16qYleWi6K3nzlsmQsDV9ZCkI6O/hNA2&#10;jWRibdleCxMHVi8URJQUOukCXeVqm0aw+L5pgohE1RSVxjziIRjv0lisllC1Hlwn2VgCXFLCI00a&#10;pMFDz1RriED2Xj6h0pJ5G2wTJ8zqYhCSHUEV0/KRNx86cCJrQauDO5seno+WvTtsPZG8pjNKDGi8&#10;8LsvP39//nb/6yuOdz++k1kyqXehQuyt2fpxFtzWJ8XHxuv0Ry3kmI09nY0Vx0gYLs4X5WxRzilh&#10;mJtfTeeJsvi31/kQ3wirSQpqqqRJsqGCw9sQB+hfSFpWhvRY8PX8KlECNmGDl4+hdigkmDZvDlZJ&#10;vpFKpS3Bt7tb5ckBsBE2mxK/sYb/YOmUNYRuwOVUgkHVCeCvDSfx5NAigy+Dphq04JQogQ8pRRkZ&#10;QapLkChfmUQtcpuOQpPPg7Mp2ll+wuvZOy/bDo2Z5ppTBtshOzi2buq3h3OMHz7X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JQ1h2AAAAAkBAAAPAAAAAAAAAAEAIAAAACIAAABkcnMvZG93bnJl&#10;di54bWxQSwECFAAUAAAACACHTuJA4gViCv0BAAD2AwAADgAAAAAAAAABACAAAAAnAQAAZHJzL2Uy&#10;b0RvYy54bWxQSwUGAAAAAAYABgBZAQAAlgUAAAAA&#10;">
                      <v:fill on="f" focussize="0,0"/>
                      <v:stroke weight="2.25pt" color="#FF0000" joinstyle="round"/>
                      <v:imagedata o:title=""/>
                      <o:lock v:ext="edit" aspectratio="f"/>
                    </v:line>
                  </w:pict>
                </mc:Fallback>
              </mc:AlternateContent>
            </w:r>
            <w:r>
              <w:rPr>
                <w:rFonts w:hint="default" w:ascii="Times New Roman" w:hAnsi="Times New Roman" w:eastAsia="方正仿宋_GBK" w:cs="Times New Roman"/>
                <w:sz w:val="32"/>
                <w:szCs w:val="32"/>
              </w:rPr>
              <w:t>开州岳府文〔202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eastAsia" w:ascii="Times New Roman" w:hAnsi="Times New Roman" w:eastAsia="方正楷体_GBK" w:cs="Times New Roman"/>
                <w:b w:val="0"/>
                <w:bCs w:val="0"/>
                <w:sz w:val="32"/>
                <w:szCs w:val="32"/>
                <w:lang w:eastAsia="zh-CN"/>
              </w:rPr>
              <w:t>杨绍奎</w:t>
            </w:r>
          </w:p>
        </w:tc>
      </w:tr>
    </w:tbl>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_GBK" w:cs="Times New Roman"/>
          <w:szCs w:val="32"/>
          <w:highlight w:val="none"/>
          <w:lang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eastAsia="zh-CN"/>
        </w:rPr>
        <w:t>岳溪镇人民政府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eastAsia" w:ascii="Times New Roman" w:hAnsi="Times New Roman" w:eastAsia="方正小标宋_GBK" w:cs="Times New Roman"/>
          <w:color w:val="000000"/>
          <w:sz w:val="44"/>
          <w:szCs w:val="44"/>
          <w:highlight w:val="none"/>
          <w:lang w:eastAsia="zh-CN"/>
        </w:rPr>
        <w:t>岳溪镇人民政府（本级）</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jc w:val="center"/>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highlight w:val="none"/>
        </w:rPr>
      </w:pPr>
    </w:p>
    <w:p>
      <w:pPr>
        <w:spacing w:line="600" w:lineRule="exact"/>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一、单位基本情况</w:t>
      </w:r>
    </w:p>
    <w:p>
      <w:pPr>
        <w:spacing w:line="600" w:lineRule="exact"/>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收支总体情况</w:t>
      </w:r>
    </w:p>
    <w:p>
      <w:pPr>
        <w:spacing w:line="600" w:lineRule="exact"/>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预算情况说明</w:t>
      </w:r>
    </w:p>
    <w:p>
      <w:pPr>
        <w:spacing w:line="600" w:lineRule="exact"/>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四、“三公”经费情况说明</w:t>
      </w:r>
    </w:p>
    <w:p>
      <w:pPr>
        <w:spacing w:line="600" w:lineRule="exact"/>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五、其他重要事项的情况说明</w:t>
      </w:r>
    </w:p>
    <w:p>
      <w:pPr>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财政拨款收支预算总</w:t>
      </w:r>
      <w:r>
        <w:rPr>
          <w:rFonts w:hint="eastAsia" w:ascii="Times New Roman" w:hAnsi="Times New Roman" w:eastAsia="方正仿宋_GBK" w:cs="Times New Roman"/>
          <w:sz w:val="32"/>
          <w:szCs w:val="32"/>
          <w:highlight w:val="none"/>
          <w:lang w:eastAsia="zh-CN"/>
        </w:rPr>
        <w:t>表</w:t>
      </w:r>
    </w:p>
    <w:p>
      <w:pPr>
        <w:keepNext w:val="0"/>
        <w:keepLines w:val="0"/>
        <w:pageBreakBefore w:val="0"/>
        <w:widowControl w:val="0"/>
        <w:kinsoku/>
        <w:wordWrap/>
        <w:overflowPunct/>
        <w:topLinePunct w:val="0"/>
        <w:autoSpaceDE/>
        <w:autoSpaceDN/>
        <w:bidi w:val="0"/>
        <w:adjustRightInd/>
        <w:snapToGrid/>
        <w:spacing w:line="560" w:lineRule="exact"/>
        <w:ind w:left="0" w:hanging="960" w:hangingChars="3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项目支出表</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rPr>
        <w:t>项目绩效目标表</w:t>
      </w:r>
    </w:p>
    <w:p>
      <w:pPr>
        <w:rPr>
          <w:rFonts w:hint="default" w:ascii="Times New Roman" w:hAnsi="Times New Roman" w:cs="Times New Roman"/>
          <w:highlight w:val="none"/>
        </w:rPr>
      </w:pPr>
    </w:p>
    <w:p>
      <w:pPr>
        <w:spacing w:line="240" w:lineRule="auto"/>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华文中宋" w:cs="Times New Roman"/>
          <w:sz w:val="44"/>
          <w:szCs w:val="44"/>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单位基本情况</w:t>
      </w:r>
    </w:p>
    <w:p>
      <w:pPr>
        <w:keepNext w:val="0"/>
        <w:keepLines w:val="0"/>
        <w:pageBreakBefore w:val="0"/>
        <w:widowControl w:val="0"/>
        <w:numPr>
          <w:ilvl w:val="0"/>
          <w:numId w:val="2"/>
        </w:numPr>
        <w:kinsoku/>
        <w:wordWrap/>
        <w:overflowPunct/>
        <w:topLinePunct w:val="0"/>
        <w:autoSpaceDN/>
        <w:bidi w:val="0"/>
        <w:adjustRightInd/>
        <w:snapToGrid/>
        <w:spacing w:line="594" w:lineRule="exact"/>
        <w:ind w:left="0" w:firstLine="640" w:firstLineChars="200"/>
        <w:textAlignment w:val="auto"/>
        <w:rPr>
          <w:rFonts w:hint="eastAsia" w:ascii="Times New Roman" w:hAnsi="Times New Roman" w:eastAsia="方正楷体_GBK" w:cs="Times New Roman"/>
          <w:kern w:val="2"/>
          <w:sz w:val="32"/>
          <w:szCs w:val="32"/>
          <w:highlight w:val="none"/>
          <w:lang w:val="en-US" w:eastAsia="zh-CN" w:bidi="ar-SA"/>
        </w:rPr>
      </w:pPr>
      <w:r>
        <w:rPr>
          <w:rFonts w:hint="eastAsia" w:ascii="Times New Roman" w:hAnsi="Times New Roman" w:eastAsia="方正楷体_GBK" w:cs="Times New Roman"/>
          <w:kern w:val="2"/>
          <w:sz w:val="32"/>
          <w:szCs w:val="32"/>
          <w:highlight w:val="none"/>
          <w:lang w:val="en-US" w:eastAsia="zh-CN" w:bidi="ar-SA"/>
        </w:rPr>
        <w:t>职能职责</w:t>
      </w:r>
    </w:p>
    <w:p>
      <w:pPr>
        <w:keepNext w:val="0"/>
        <w:keepLines w:val="0"/>
        <w:pageBreakBefore w:val="0"/>
        <w:widowControl w:val="0"/>
        <w:numPr>
          <w:ilvl w:val="0"/>
          <w:numId w:val="3"/>
        </w:numPr>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numPr>
          <w:ilvl w:val="0"/>
          <w:numId w:val="3"/>
        </w:numPr>
        <w:kinsoku/>
        <w:wordWrap/>
        <w:overflowPunct/>
        <w:topLinePunct w:val="0"/>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工作；负责群团和关心下一代工作，负责未成年人保护工作的组织、协调、指导、督促，负责家庭暴力预防、家庭教育指导等工作。</w:t>
      </w:r>
    </w:p>
    <w:p>
      <w:pPr>
        <w:keepNext w:val="0"/>
        <w:keepLines w:val="0"/>
        <w:pageBreakBefore w:val="0"/>
        <w:widowControl w:val="0"/>
        <w:numPr>
          <w:ilvl w:val="0"/>
          <w:numId w:val="3"/>
        </w:numPr>
        <w:kinsoku/>
        <w:wordWrap/>
        <w:overflowPunct/>
        <w:topLinePunct w:val="0"/>
        <w:autoSpaceDE w:val="0"/>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负责发展改革、农业农村和乡村振兴、水利、科技、经济和信息化、商务、旅游、经济社会统计、林业、招商引资、供销合作等工作；负责农村经营管理、产业结构调整、农产品质量安全监督管理等工作；负责市场主体培育、营商环境改善、区域协作等工作；承担移民搬迁安置有关后续工作，负责三峡后续项目及对口支援项目的策划、申报、组织实施、资金管理、档案收集整理等工作；负责规划建设、自然资源、生态环保、市政管理、农房建设管理、农村公路建设管理、地灾防治、土地整治和复垦开发管理等工作；负责财政资金及代管资金的收支管理、财政预算、决算及财务报告；负责国有资产管理、政府采购、非税收入管理、惠农资金兑付、审计监督、内部控制、财政资金监督、绩效管理等工作；代理村（社区）会计账务；负责村（社区）财务培训和监督检查等工作。</w:t>
      </w:r>
    </w:p>
    <w:p>
      <w:pPr>
        <w:keepNext w:val="0"/>
        <w:keepLines w:val="0"/>
        <w:pageBreakBefore w:val="0"/>
        <w:widowControl w:val="0"/>
        <w:numPr>
          <w:ilvl w:val="0"/>
          <w:numId w:val="3"/>
        </w:numPr>
        <w:kinsoku/>
        <w:wordWrap/>
        <w:overflowPunct/>
        <w:topLinePunct w:val="0"/>
        <w:autoSpaceDE w:val="0"/>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负责民政、教育、卫生健康、退役军人事务、劳动就业、医疗和社会保障、政务服务、老龄事业、残疾人事业、物业管理、廉租住房保障等工作；负责落实社会保险、社会救助、社会福利、优抚安置等社会保障政策；负责村（居）民委员会换届选举组织实施和指导工作；负责优化基本公共服务资源配置，统筹公共服务设施空间布局，提供优质高效的便民服务。</w:t>
      </w:r>
    </w:p>
    <w:p>
      <w:pPr>
        <w:keepNext w:val="0"/>
        <w:keepLines w:val="0"/>
        <w:pageBreakBefore w:val="0"/>
        <w:widowControl w:val="0"/>
        <w:numPr>
          <w:ilvl w:val="0"/>
          <w:numId w:val="3"/>
        </w:numPr>
        <w:kinsoku/>
        <w:wordWrap/>
        <w:overflowPunct/>
        <w:topLinePunct w:val="0"/>
        <w:autoSpaceDE w:val="0"/>
        <w:autoSpaceDN/>
        <w:bidi w:val="0"/>
        <w:adjustRightInd/>
        <w:snapToGrid/>
        <w:spacing w:line="594" w:lineRule="exact"/>
        <w:ind w:left="0" w:leftChars="0" w:firstLine="640" w:firstLineChars="200"/>
        <w:jc w:val="left"/>
        <w:textAlignment w:val="auto"/>
        <w:rPr>
          <w:rFonts w:hint="default"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lang w:val="en-US" w:eastAsia="zh-CN"/>
        </w:rPr>
        <w:t>负责法治建设、社会治安综合治理、国家安全教育、禁毒和反邪教、信访稳定、矛盾纠纷化解调处工作；统筹做好平安创建、扫黑除恶、人民调解、社区矫正、社会治安专项整治行动等平安建设工作，组织协调流动人口、重点人群服务管理工作；负责安全生产事故类、自然灾害类等突发事件处置和综合防灾减灾救灾工作；负责安全生产综合监督管理工作，协助开展煤矿和非煤矿山、危险化学品、烟花爆竹、乡村道路、消防管理等安全生产日常监管工作；承担食品药品安全等市场监管属地责任；集中行使依法承担、授权或委托的各项行政执法权；协调、配合区级有关部门及派驻机构开展其他领域的联合执法；负责兵役、民兵、国防动员等人民武装工作；完善执法协调、公共法律服务、普法依法治理、网上网下联动化解网络舆情风险等机制，推动平安法治和社会治理工作落细落实。</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2"/>
        <w:keepNext w:val="0"/>
        <w:keepLines w:val="0"/>
        <w:pageBreakBefore w:val="0"/>
        <w:widowControl w:val="0"/>
        <w:kinsoku/>
        <w:wordWrap/>
        <w:overflowPunct/>
        <w:topLinePunct w:val="0"/>
        <w:autoSpaceDN/>
        <w:bidi w:val="0"/>
        <w:adjustRightInd/>
        <w:snapToGrid/>
        <w:spacing w:line="594" w:lineRule="exact"/>
        <w:ind w:left="0"/>
        <w:textAlignment w:val="auto"/>
        <w:rPr>
          <w:rFonts w:hint="eastAsia" w:ascii="Times New Roman" w:hAnsi="Times New Roman" w:eastAsia="方正仿宋_GBK" w:cs="Times New Roman"/>
          <w:sz w:val="32"/>
          <w:highlight w:val="none"/>
          <w:lang w:val="en-US" w:eastAsia="zh-CN"/>
        </w:rPr>
      </w:pPr>
      <w:r>
        <w:rPr>
          <w:rFonts w:hint="default" w:ascii="Times New Roman" w:hAnsi="Times New Roman" w:eastAsia="方正仿宋_GBK" w:cs="Times New Roman"/>
          <w:sz w:val="32"/>
          <w:highlight w:val="none"/>
        </w:rPr>
        <w:t>单位内设</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个机构处室，分别是基层治理综合指挥室</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党的建设办公室</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经济发展办公室</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民生服务办公室</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平安法治办公室</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年年初预算数2773.47万元</w:t>
      </w:r>
      <w:r>
        <w:rPr>
          <w:rFonts w:hint="eastAsia" w:ascii="Times New Roman" w:hAnsi="Times New Roman" w:eastAsia="方正仿宋_GBK" w:cs="Times New Roman"/>
          <w:sz w:val="32"/>
          <w:highlight w:val="none"/>
          <w:lang w:eastAsia="zh-CN"/>
        </w:rPr>
        <w:t>（包含</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183.75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2589.72万元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上年结转183.75万元，政府性基金预算拨款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年年初预算数2773.47万元，其中：一般公共服务支出预算940.34万元，社会保障和就业支出预算278.04万元，卫生健康支出预算83.97万元，节能环保支出预算180.1万元</w:t>
      </w:r>
      <w:r>
        <w:rPr>
          <w:rFonts w:hint="eastAsia" w:ascii="Times New Roman" w:hAnsi="Times New Roman" w:eastAsia="方正仿宋_GBK" w:cs="Times New Roman"/>
          <w:sz w:val="32"/>
          <w:highlight w:val="none"/>
          <w:lang w:eastAsia="zh-CN"/>
        </w:rPr>
        <w:t>，城乡社区支出</w:t>
      </w:r>
      <w:r>
        <w:rPr>
          <w:rFonts w:hint="default" w:ascii="Times New Roman" w:hAnsi="Times New Roman" w:eastAsia="方正仿宋_GBK" w:cs="Times New Roman"/>
          <w:sz w:val="32"/>
          <w:highlight w:val="none"/>
        </w:rPr>
        <w:t>预算77.2万元</w:t>
      </w:r>
      <w:r>
        <w:rPr>
          <w:rFonts w:hint="eastAsia" w:ascii="Times New Roman" w:hAnsi="Times New Roman" w:eastAsia="方正仿宋_GBK" w:cs="Times New Roman"/>
          <w:sz w:val="32"/>
          <w:highlight w:val="none"/>
          <w:lang w:eastAsia="zh-CN"/>
        </w:rPr>
        <w:t>，农林水支出</w:t>
      </w:r>
      <w:r>
        <w:rPr>
          <w:rFonts w:hint="default" w:ascii="Times New Roman" w:hAnsi="Times New Roman" w:eastAsia="方正仿宋_GBK" w:cs="Times New Roman"/>
          <w:sz w:val="32"/>
          <w:highlight w:val="none"/>
        </w:rPr>
        <w:t>预算1134.19万元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住房保障支出预算79.63万元。因202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w:t>
      </w:r>
      <w:r>
        <w:rPr>
          <w:rFonts w:hint="default" w:ascii="Times New Roman" w:hAnsi="Times New Roman" w:eastAsia="方正楷体_GBK" w:cs="Times New Roman"/>
          <w:kern w:val="2"/>
          <w:sz w:val="32"/>
          <w:szCs w:val="32"/>
          <w:highlight w:val="none"/>
          <w:lang w:val="en-US" w:eastAsia="zh-CN" w:bidi="ar-SA"/>
        </w:rPr>
        <w:t>预算财政</w:t>
      </w:r>
      <w:r>
        <w:rPr>
          <w:rFonts w:hint="default" w:ascii="Times New Roman" w:hAnsi="Times New Roman" w:eastAsia="方正仿宋_GBK" w:cs="Times New Roman"/>
          <w:sz w:val="32"/>
          <w:highlight w:val="none"/>
        </w:rPr>
        <w:t>拨款收入2589.72万元，上年结转183.75万元，一般公共预算财政拨款支出2773.47万元，因202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年预算采取分二级单位的形式编制部门预算和单位预算，故不能作对比。其中：基本支出2351.62万元，因202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年预算采取分二级单位的形式编制部门预算和单位预算，故不能作对比，主要用于保障在职人员工资福利及社会保险缴费，退休人员补助等，保障部门正常运转的各项商品服务支出；项目支出421.85万元，因202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年预算采取分二级单位的形式编制部门预算和单位预算，故不能作对比，主要用于</w:t>
      </w:r>
      <w:r>
        <w:rPr>
          <w:rFonts w:hint="eastAsia" w:ascii="Times New Roman" w:hAnsi="Times New Roman" w:eastAsia="方正仿宋_GBK" w:cs="Times New Roman"/>
          <w:sz w:val="32"/>
          <w:highlight w:val="none"/>
          <w:lang w:eastAsia="zh-CN"/>
        </w:rPr>
        <w:t>集镇清扫保洁及垃圾清运、市政设施维修维护、</w:t>
      </w:r>
      <w:r>
        <w:rPr>
          <w:rFonts w:hint="eastAsia" w:ascii="Times New Roman" w:hAnsi="Times New Roman" w:eastAsia="方正仿宋_GBK" w:cs="Times New Roman"/>
          <w:sz w:val="32"/>
          <w:highlight w:val="none"/>
        </w:rPr>
        <w:t>治安综合治理、信访稳定</w:t>
      </w:r>
      <w:r>
        <w:rPr>
          <w:rFonts w:hint="eastAsia" w:ascii="Times New Roman" w:hAnsi="Times New Roman" w:eastAsia="方正仿宋_GBK" w:cs="Times New Roman"/>
          <w:sz w:val="32"/>
          <w:highlight w:val="none"/>
          <w:lang w:eastAsia="zh-CN"/>
        </w:rPr>
        <w:t>等乡镇支出责任和森林修复</w:t>
      </w:r>
      <w:r>
        <w:rPr>
          <w:rFonts w:hint="default" w:ascii="Times New Roman" w:hAnsi="Times New Roman" w:eastAsia="方正仿宋_GBK" w:cs="Times New Roman"/>
          <w:sz w:val="32"/>
          <w:highlight w:val="none"/>
        </w:rPr>
        <w:t>工作。</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N/>
        <w:bidi w:val="0"/>
        <w:adjustRightInd/>
        <w:snapToGrid/>
        <w:spacing w:line="594" w:lineRule="exact"/>
        <w:ind w:left="0" w:firstLine="6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8</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年预算采取分二级单位的形式编制部门预算和单位预算，故不能作对比。其中：公务接待费</w:t>
      </w:r>
      <w:r>
        <w:rPr>
          <w:rFonts w:hint="eastAsia"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年预算采取分二级单位的形式编制部门预算和单位预算，故不能作对比；公务用车运行维护费</w:t>
      </w:r>
      <w:r>
        <w:rPr>
          <w:rFonts w:hint="eastAsia"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sz w:val="32"/>
          <w:szCs w:val="32"/>
          <w:highlight w:val="none"/>
        </w:rPr>
        <w:t>（一）</w:t>
      </w:r>
      <w:r>
        <w:rPr>
          <w:rFonts w:hint="eastAsia" w:ascii="方正楷体_GBK" w:hAnsi="方正楷体_GBK" w:eastAsia="方正楷体_GBK" w:cs="方正楷体_GBK"/>
          <w:sz w:val="32"/>
          <w:highlight w:val="none"/>
        </w:rPr>
        <w:t>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年一般公共预算财政拨款运行经费1141.54</w:t>
      </w:r>
      <w:r>
        <w:rPr>
          <w:rFonts w:hint="default" w:ascii="Times New Roman" w:hAnsi="Times New Roman" w:eastAsia="方正仿宋_GBK" w:cs="Times New Roman"/>
          <w:color w:val="auto"/>
          <w:sz w:val="32"/>
          <w:highlight w:val="none"/>
        </w:rPr>
        <w:t>万元，</w:t>
      </w:r>
      <w:r>
        <w:rPr>
          <w:rFonts w:hint="default" w:ascii="Times New Roman" w:hAnsi="Times New Roman" w:eastAsia="方正仿宋_GBK" w:cs="Times New Roman"/>
          <w:sz w:val="32"/>
          <w:highlight w:val="none"/>
        </w:rPr>
        <w:t>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年预算采取分二级单位的形式编制部门预算和单位预算，故不能作对比。主要用于办公费、印刷费、邮电费、水电费、物管费、差旅费、会议费、培训费及其他商品和服务支出等。</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sz w:val="32"/>
          <w:szCs w:val="32"/>
          <w:highlight w:val="none"/>
        </w:rPr>
        <w:t>（二）政府采购情况。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年项目支出均实行了绩效目标管理，涉及一般公共预算当年财政拨款238.1万元。</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本</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w:t>
      </w:r>
      <w:r>
        <w:rPr>
          <w:rFonts w:hint="eastAsia" w:ascii="Times New Roman" w:hAnsi="Times New Roman" w:eastAsia="方正仿宋_GBK" w:cs="Times New Roman"/>
          <w:color w:val="000000"/>
          <w:sz w:val="32"/>
          <w:highlight w:val="none"/>
          <w:lang w:eastAsia="zh-CN"/>
        </w:rPr>
        <w:t>未</w:t>
      </w:r>
      <w:r>
        <w:rPr>
          <w:rFonts w:hint="default" w:ascii="Times New Roman" w:hAnsi="Times New Roman" w:eastAsia="方正仿宋_GBK" w:cs="Times New Roman"/>
          <w:color w:val="000000"/>
          <w:sz w:val="32"/>
          <w:highlight w:val="none"/>
        </w:rPr>
        <w:t>安排购置车辆。</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1"/>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1"/>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1"/>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1"/>
        <w:keepNext w:val="0"/>
        <w:keepLines w:val="0"/>
        <w:pageBreakBefore w:val="0"/>
        <w:widowControl w:val="0"/>
        <w:tabs>
          <w:tab w:val="center" w:pos="4153"/>
          <w:tab w:val="left" w:pos="7275"/>
        </w:tabs>
        <w:kinsoku/>
        <w:wordWrap/>
        <w:overflowPunct/>
        <w:topLinePunct w:val="0"/>
        <w:autoSpaceDN/>
        <w:bidi w:val="0"/>
        <w:adjustRightInd/>
        <w:snapToGrid/>
        <w:spacing w:line="594" w:lineRule="exact"/>
        <w:ind w:left="0"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eastAsia="zh-CN"/>
        </w:rPr>
        <w:t>重庆市开州区岳溪镇人民政府（本级）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程艳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52670100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eastAsia="zh-CN"/>
        </w:rPr>
        <w:t>重庆市开州区岳溪镇人民政府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bookmarkStart w:id="0" w:name="_GoBack"/>
      <w:bookmarkEnd w:id="0"/>
      <w:r>
        <w:rPr>
          <w:rFonts w:hint="default" w:ascii="Times New Roman" w:hAnsi="Times New Roman" w:eastAsia="方正仿宋_GBK" w:cs="Times New Roman"/>
          <w:sz w:val="32"/>
          <w:szCs w:val="32"/>
          <w:highlight w:val="none"/>
        </w:rPr>
        <w:t>日</w:t>
      </w:r>
    </w:p>
    <w:p>
      <w:pPr>
        <w:pStyle w:val="2"/>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textAlignment w:val="auto"/>
        <w:rPr>
          <w:rFonts w:hint="default"/>
          <w:sz w:val="32"/>
          <w:szCs w:val="32"/>
        </w:rPr>
      </w:pPr>
    </w:p>
    <w:p>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jc w:val="both"/>
        <w:textAlignment w:val="auto"/>
      </w:pPr>
      <w:r>
        <w:rPr>
          <w:rFonts w:hint="default" w:ascii="Times New Roman" w:hAnsi="Times New Roman" w:eastAsia="方正仿宋_GBK" w:cs="Times New Roman"/>
          <w:b w:val="0"/>
          <w:bCs w:val="0"/>
          <w:sz w:val="28"/>
          <w:szCs w:val="28"/>
          <w:lang w:eastAsia="zh-CN"/>
        </w:rPr>
        <w:t>重庆市开州区岳溪镇基层治理</w:t>
      </w:r>
      <w:r>
        <w:rPr>
          <w:rFonts w:hint="eastAsia" w:ascii="Times New Roman" w:hAnsi="Times New Roman" w:eastAsia="方正仿宋_GBK" w:cs="Times New Roman"/>
          <w:b w:val="0"/>
          <w:bCs w:val="0"/>
          <w:sz w:val="28"/>
          <w:szCs w:val="28"/>
          <w:lang w:eastAsia="zh-CN"/>
        </w:rPr>
        <w:t>综合</w:t>
      </w:r>
      <w:r>
        <w:rPr>
          <w:rFonts w:hint="default" w:ascii="Times New Roman" w:hAnsi="Times New Roman" w:eastAsia="方正仿宋_GBK" w:cs="Times New Roman"/>
          <w:b w:val="0"/>
          <w:bCs w:val="0"/>
          <w:sz w:val="28"/>
          <w:szCs w:val="28"/>
          <w:lang w:eastAsia="zh-CN"/>
        </w:rPr>
        <w:t>指挥</w:t>
      </w:r>
      <w:r>
        <w:rPr>
          <w:rFonts w:hint="eastAsia" w:ascii="Times New Roman" w:hAnsi="Times New Roman" w:eastAsia="方正仿宋_GBK" w:cs="Times New Roman"/>
          <w:b w:val="0"/>
          <w:bCs w:val="0"/>
          <w:sz w:val="28"/>
          <w:szCs w:val="28"/>
          <w:lang w:eastAsia="zh-CN"/>
        </w:rPr>
        <w:t>室</w:t>
      </w:r>
      <w:r>
        <w:rPr>
          <w:rFonts w:hint="default" w:ascii="Times New Roman" w:hAnsi="Times New Roman" w:eastAsia="方正仿宋_GBK" w:cs="Times New Roman"/>
          <w:b w:val="0"/>
          <w:bCs w:val="0"/>
          <w:sz w:val="28"/>
          <w:szCs w:val="28"/>
          <w:lang w:val="en-US" w:eastAsia="zh-CN"/>
        </w:rPr>
        <w:t xml:space="preserve">     202</w:t>
      </w:r>
      <w:r>
        <w:rPr>
          <w:rFonts w:hint="eastAsia"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val="en-US" w:eastAsia="zh-CN"/>
        </w:rPr>
        <w:t>年</w:t>
      </w:r>
      <w:r>
        <w:rPr>
          <w:rFonts w:hint="eastAsia"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eastAsia="zh-CN"/>
        </w:rPr>
        <w:t>月</w:t>
      </w:r>
      <w:r>
        <w:rPr>
          <w:rFonts w:hint="eastAsia" w:eastAsia="方正仿宋_GBK" w:cs="Times New Roman"/>
          <w:b w:val="0"/>
          <w:bCs w:val="0"/>
          <w:sz w:val="28"/>
          <w:szCs w:val="28"/>
          <w:lang w:val="en-US" w:eastAsia="zh-CN"/>
        </w:rPr>
        <w:t>12</w:t>
      </w:r>
      <w:r>
        <w:rPr>
          <w:rFonts w:hint="default" w:ascii="Times New Roman" w:hAnsi="Times New Roman" w:eastAsia="方正仿宋_GBK" w:cs="Times New Roman"/>
          <w:b w:val="0"/>
          <w:bCs w:val="0"/>
          <w:sz w:val="28"/>
          <w:szCs w:val="28"/>
          <w:lang w:val="en-US" w:eastAsia="zh-CN"/>
        </w:rPr>
        <w:t>日</w:t>
      </w:r>
      <w:r>
        <w:rPr>
          <w:rFonts w:hint="eastAsia" w:ascii="Times New Roman" w:hAnsi="Times New Roman" w:eastAsia="方正仿宋_GBK" w:cs="Times New Roman"/>
          <w:b w:val="0"/>
          <w:bCs w:val="0"/>
          <w:sz w:val="28"/>
          <w:szCs w:val="28"/>
          <w:lang w:val="en-US" w:eastAsia="zh-CN"/>
        </w:rPr>
        <w:t>印发</w:t>
      </w:r>
    </w:p>
    <w:sectPr>
      <w:footerReference r:id="rId3" w:type="default"/>
      <w:pgSz w:w="11906" w:h="16838"/>
      <w:pgMar w:top="1984" w:right="1446" w:bottom="1644" w:left="1446"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E423ED"/>
    <w:multiLevelType w:val="singleLevel"/>
    <w:tmpl w:val="BAE423ED"/>
    <w:lvl w:ilvl="0" w:tentative="0">
      <w:start w:val="1"/>
      <w:numFmt w:val="decimal"/>
      <w:suff w:val="space"/>
      <w:lvlText w:val="%1."/>
      <w:lvlJc w:val="left"/>
    </w:lvl>
  </w:abstractNum>
  <w:abstractNum w:abstractNumId="1">
    <w:nsid w:val="F405A3C7"/>
    <w:multiLevelType w:val="singleLevel"/>
    <w:tmpl w:val="F405A3C7"/>
    <w:lvl w:ilvl="0" w:tentative="0">
      <w:start w:val="1"/>
      <w:numFmt w:val="chineseCounting"/>
      <w:suff w:val="nothing"/>
      <w:lvlText w:val="（%1）"/>
      <w:lvlJc w:val="left"/>
      <w:rPr>
        <w:rFonts w:hint="eastAsia"/>
      </w:rPr>
    </w:lvl>
  </w:abstractNum>
  <w:abstractNum w:abstractNumId="2">
    <w:nsid w:val="651F0D9C"/>
    <w:multiLevelType w:val="singleLevel"/>
    <w:tmpl w:val="651F0D9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B57E0"/>
    <w:rsid w:val="15406575"/>
    <w:rsid w:val="1C563918"/>
    <w:rsid w:val="21102997"/>
    <w:rsid w:val="29275A39"/>
    <w:rsid w:val="2BEC112E"/>
    <w:rsid w:val="2C0229C9"/>
    <w:rsid w:val="2D83614E"/>
    <w:rsid w:val="343637B7"/>
    <w:rsid w:val="35336397"/>
    <w:rsid w:val="3FE7203B"/>
    <w:rsid w:val="442944F4"/>
    <w:rsid w:val="45693CEF"/>
    <w:rsid w:val="46BB57E0"/>
    <w:rsid w:val="56971CA4"/>
    <w:rsid w:val="5BF154A0"/>
    <w:rsid w:val="61E110F5"/>
    <w:rsid w:val="61F5736C"/>
    <w:rsid w:val="63A5057B"/>
    <w:rsid w:val="72916055"/>
    <w:rsid w:val="753B6F5F"/>
    <w:rsid w:val="77FFB63F"/>
    <w:rsid w:val="7DA116C0"/>
    <w:rsid w:val="7DFB9A67"/>
    <w:rsid w:val="F8F5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spacing w:line="600" w:lineRule="exact"/>
      <w:jc w:val="center"/>
      <w:outlineLvl w:val="0"/>
    </w:pPr>
    <w:rPr>
      <w:rFonts w:ascii="Times New Roman" w:hAnsi="Times New Roman" w:eastAsia="方正小标宋_GBK" w:cs="Times New Roman"/>
      <w:b/>
      <w:bCs/>
      <w:kern w:val="44"/>
      <w:sz w:val="44"/>
      <w:szCs w:val="44"/>
      <w:lang w:val="en-US" w:eastAsia="zh-CN" w:bidi="ar-SA"/>
    </w:rPr>
  </w:style>
  <w:style w:type="paragraph" w:styleId="4">
    <w:name w:val="heading 4"/>
    <w:next w:val="1"/>
    <w:qFormat/>
    <w:uiPriority w:val="0"/>
    <w:pPr>
      <w:keepNext/>
      <w:keepLines/>
      <w:widowControl w:val="0"/>
      <w:spacing w:line="372" w:lineRule="auto"/>
      <w:jc w:val="both"/>
      <w:outlineLvl w:val="3"/>
    </w:pPr>
    <w:rPr>
      <w:rFonts w:ascii="Arial" w:hAnsi="Arial" w:eastAsia="黑体" w:cs="Times New Roman"/>
      <w:b/>
      <w:kern w:val="2"/>
      <w:sz w:val="28"/>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0"/>
    <w:pPr>
      <w:spacing w:before="100" w:beforeAutospacing="1" w:after="100" w:afterAutospacing="1"/>
    </w:p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正文首行缩进1"/>
    <w:qFormat/>
    <w:uiPriority w:val="0"/>
    <w:pPr>
      <w:autoSpaceDE w:val="0"/>
      <w:autoSpaceDN w:val="0"/>
      <w:adjustRightInd w:val="0"/>
      <w:spacing w:before="86" w:beforeLines="0" w:after="120" w:afterLines="0"/>
      <w:ind w:left="679" w:firstLine="420" w:firstLineChars="100"/>
      <w:jc w:val="left"/>
      <w:textAlignment w:val="baseline"/>
    </w:pPr>
    <w:rPr>
      <w:rFonts w:hint="eastAsia" w:ascii="Calibri" w:hAnsi="Calibri"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3490</Words>
  <Characters>3732</Characters>
  <Lines>0</Lines>
  <Paragraphs>0</Paragraphs>
  <TotalTime>3</TotalTime>
  <ScaleCrop>false</ScaleCrop>
  <LinksUpToDate>false</LinksUpToDate>
  <CharactersWithSpaces>3799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2026-02-03T10:05:00Z</dcterms:created>
  <dc:creator>天凉好个秋</dc:creator>
  <cp:lastModifiedBy>彭剑</cp:lastModifiedBy>
  <dcterms:modified xsi:type="dcterms:W3CDTF">2026-03-12T02:22:36Z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66BA0627B89D4D6388583E0AAE4C5190_13</vt:lpwstr>
  </property>
  <property fmtid="{D5CDD505-2E9C-101B-9397-08002B2CF9AE}" pid="4" name="KSOTemplateDocerSaveRecord">
    <vt:lpwstr>eyJoZGlkIjoiZTA2YzcyNzRiNjFhNzA3ZjhkMjMzYTA4MDlhYTk1OTkiLCJ1c2VySWQiOiIyNTQ1MzEwOTAifQ==</vt:lpwstr>
  </property>
</Properties>
</file>