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pPr w:leftFromText="181" w:rightFromText="181" w:vertAnchor="page" w:horzAnchor="page" w:tblpX="1622" w:tblpY="15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0"/>
      </w:tblGrid>
      <w:tr w14:paraId="381A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840" w:type="dxa"/>
            <w:noWrap w:val="0"/>
            <w:vAlign w:val="top"/>
          </w:tcPr>
          <w:p w14:paraId="23AF4984">
            <w:pPr>
              <w:spacing w:line="600" w:lineRule="exact"/>
              <w:ind w:firstLine="5250" w:firstLineChars="2500"/>
              <w:rPr>
                <w:rFonts w:hint="default" w:ascii="Times New Roman" w:hAnsi="Times New Roman" w:eastAsia="方正仿宋_GBK" w:cs="Times New Roman"/>
                <w:kern w:val="0"/>
                <w:szCs w:val="32"/>
                <w:lang w:val="en-US" w:eastAsia="zh-CN"/>
              </w:rPr>
            </w:pPr>
          </w:p>
        </w:tc>
      </w:tr>
      <w:tr w14:paraId="1996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7" w:hRule="exact"/>
          <w:jc w:val="center"/>
        </w:trPr>
        <w:tc>
          <w:tcPr>
            <w:tcW w:w="8840" w:type="dxa"/>
            <w:noWrap w:val="0"/>
            <w:vAlign w:val="center"/>
          </w:tcPr>
          <w:p w14:paraId="6D35C06A">
            <w:pPr>
              <w:jc w:val="distribute"/>
              <w:rPr>
                <w:rFonts w:hint="default" w:ascii="Times New Roman" w:hAnsi="Times New Roman" w:eastAsia="方正小标宋_GBK" w:cs="Times New Roman"/>
                <w:b/>
                <w:color w:val="FF3300"/>
                <w:spacing w:val="20"/>
                <w:w w:val="50"/>
                <w:kern w:val="0"/>
                <w:sz w:val="124"/>
                <w:szCs w:val="124"/>
                <w:lang w:eastAsia="zh-CN"/>
              </w:rPr>
            </w:pPr>
            <w:r>
              <w:rPr>
                <w:rFonts w:hint="default" w:ascii="Times New Roman" w:hAnsi="Times New Roman" w:cs="Times New Roman"/>
                <w:color w:val="FF3300"/>
                <w:kern w:val="0"/>
                <w:sz w:val="52"/>
                <w:szCs w:val="52"/>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1200150</wp:posOffset>
                      </wp:positionV>
                      <wp:extent cx="5646420" cy="33655"/>
                      <wp:effectExtent l="0" t="28575" r="11430" b="33020"/>
                      <wp:wrapNone/>
                      <wp:docPr id="2" name="直接连接符 2"/>
                      <wp:cNvGraphicFramePr/>
                      <a:graphic xmlns:a="http://schemas.openxmlformats.org/drawingml/2006/main">
                        <a:graphicData uri="http://schemas.microsoft.com/office/word/2010/wordprocessingShape">
                          <wps:wsp>
                            <wps:cNvCnPr/>
                            <wps:spPr>
                              <a:xfrm flipV="1">
                                <a:off x="0" y="0"/>
                                <a:ext cx="5646420" cy="3365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45pt;margin-top:94.5pt;height:2.65pt;width:444.6pt;z-index:251659264;mso-width-relative:page;mso-height-relative:page;" filled="f" stroked="t" coordsize="21600,21600" o:gfxdata="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BQH9dkAAAALAQAADwAAAAAAAAABACAAAAAi&#10;AAAAZHJzL2Rvd25yZXYueG1sUEsBAhQAFAAAAAgAh07iQNZC1NQJAgAABwQAAA4AAAAAAAAAAQAg&#10;AAAAKAEAAGRycy9lMm9Eb2MueG1sUEsFBgAAAAAGAAYAWQEAAKMFAAAAAA==&#10;">
                      <v:fill on="f" focussize="0,0"/>
                      <v:stroke weight="4.5pt" color="#FF0000" linestyle="thickThin" joinstyle="round"/>
                      <v:imagedata o:title=""/>
                      <o:lock v:ext="edit" aspectratio="f"/>
                    </v:line>
                  </w:pict>
                </mc:Fallback>
              </mc:AlternateContent>
            </w:r>
            <w:r>
              <w:rPr>
                <w:rFonts w:hint="default" w:ascii="Times New Roman" w:hAnsi="Times New Roman" w:eastAsia="方正小标宋_GBK" w:cs="Times New Roman"/>
                <w:b/>
                <w:color w:val="FF3300"/>
                <w:spacing w:val="20"/>
                <w:w w:val="50"/>
                <w:kern w:val="0"/>
                <w:sz w:val="110"/>
                <w:szCs w:val="110"/>
              </w:rPr>
              <w:t>重庆市开州区大进镇</w:t>
            </w:r>
            <w:r>
              <w:rPr>
                <w:rFonts w:hint="default" w:ascii="Times New Roman" w:hAnsi="Times New Roman" w:eastAsia="方正小标宋_GBK" w:cs="Times New Roman"/>
                <w:b/>
                <w:color w:val="FF3300"/>
                <w:spacing w:val="20"/>
                <w:w w:val="50"/>
                <w:kern w:val="0"/>
                <w:sz w:val="110"/>
                <w:szCs w:val="110"/>
                <w:lang w:eastAsia="zh-CN"/>
              </w:rPr>
              <w:t>人民政府</w:t>
            </w:r>
          </w:p>
        </w:tc>
      </w:tr>
    </w:tbl>
    <w:p w14:paraId="3C17E1C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kern w:val="2"/>
          <w:sz w:val="44"/>
          <w:szCs w:val="44"/>
          <w:lang w:val="en-US" w:eastAsia="zh-CN" w:bidi="ar-SA"/>
        </w:rPr>
      </w:pPr>
    </w:p>
    <w:p w14:paraId="37EC0F06">
      <w:pPr>
        <w:spacing w:line="560" w:lineRule="exact"/>
        <w:jc w:val="center"/>
        <w:rPr>
          <w:rFonts w:hint="eastAsia"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重庆市开州区大进镇人民政府</w:t>
      </w:r>
    </w:p>
    <w:p w14:paraId="46BEB076">
      <w:pPr>
        <w:spacing w:line="560" w:lineRule="exact"/>
        <w:jc w:val="center"/>
        <w:rPr>
          <w:rFonts w:hint="default"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关于开州区</w:t>
      </w:r>
      <w:r>
        <w:rPr>
          <w:rFonts w:hint="default" w:ascii="Times New Roman" w:hAnsi="Times New Roman" w:eastAsia="方正小标宋_GBK" w:cs="Times New Roman"/>
          <w:kern w:val="2"/>
          <w:sz w:val="44"/>
          <w:szCs w:val="44"/>
          <w:lang w:val="en-US" w:eastAsia="zh-CN" w:bidi="ar-SA"/>
        </w:rPr>
        <w:t>大进镇2025年预算执行情况和2026年预算</w:t>
      </w:r>
      <w:r>
        <w:rPr>
          <w:rFonts w:hint="eastAsia" w:ascii="Times New Roman" w:hAnsi="Times New Roman" w:eastAsia="方正小标宋_GBK" w:cs="Times New Roman"/>
          <w:kern w:val="2"/>
          <w:sz w:val="44"/>
          <w:szCs w:val="44"/>
          <w:lang w:val="en-US" w:eastAsia="zh-CN" w:bidi="ar-SA"/>
        </w:rPr>
        <w:t>（</w:t>
      </w:r>
      <w:r>
        <w:rPr>
          <w:rFonts w:hint="default" w:ascii="Times New Roman" w:hAnsi="Times New Roman" w:eastAsia="方正小标宋_GBK" w:cs="Times New Roman"/>
          <w:kern w:val="2"/>
          <w:sz w:val="44"/>
          <w:szCs w:val="44"/>
          <w:lang w:val="en-US" w:eastAsia="zh-CN" w:bidi="ar-SA"/>
        </w:rPr>
        <w:t>草案</w:t>
      </w:r>
      <w:r>
        <w:rPr>
          <w:rFonts w:hint="eastAsia" w:ascii="Times New Roman" w:hAnsi="Times New Roman" w:eastAsia="方正小标宋_GBK" w:cs="Times New Roman"/>
          <w:kern w:val="2"/>
          <w:sz w:val="44"/>
          <w:szCs w:val="44"/>
          <w:lang w:val="en-US" w:eastAsia="zh-CN" w:bidi="ar-SA"/>
        </w:rPr>
        <w:t>）</w:t>
      </w:r>
      <w:r>
        <w:rPr>
          <w:rFonts w:hint="default" w:ascii="Times New Roman" w:hAnsi="Times New Roman" w:eastAsia="方正小标宋_GBK" w:cs="Times New Roman"/>
          <w:kern w:val="2"/>
          <w:sz w:val="44"/>
          <w:szCs w:val="44"/>
          <w:lang w:val="en-US" w:eastAsia="zh-CN" w:bidi="ar-SA"/>
        </w:rPr>
        <w:t>的报告</w:t>
      </w:r>
    </w:p>
    <w:p w14:paraId="71F60B0D">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4CC5B294">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各位代表：</w:t>
      </w:r>
    </w:p>
    <w:p w14:paraId="6619DDA0">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我受大进镇人民政府委托，向大会报告全镇2025年财政预算执行情况和2026年财政预算（草案），请予审议，并请各位列席代表提出意见。</w:t>
      </w:r>
    </w:p>
    <w:p w14:paraId="611460EB">
      <w:pPr>
        <w:pStyle w:val="21"/>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2025年是“十四五”规划收官之年。全镇财政工作在区委、区政府及镇党委坚强领导下，在镇人大监督支持下，严格执行预算法，坚持稳中求进、以进促稳，全力兜牢“三保”底线，统筹支持乡村振兴、基层治理、民生保障与安全稳定，预算执行总体平稳、收支结构持续优化、重点保障坚强有力。</w:t>
      </w:r>
    </w:p>
    <w:p w14:paraId="18658DB1">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一、</w:t>
      </w:r>
      <w:r>
        <w:rPr>
          <w:rFonts w:hint="eastAsia" w:ascii="Times New Roman" w:hAnsi="Times New Roman" w:eastAsia="方正黑体_GBK" w:cs="Times New Roman"/>
          <w:b w:val="0"/>
          <w:bCs w:val="0"/>
          <w:kern w:val="2"/>
          <w:sz w:val="32"/>
          <w:szCs w:val="32"/>
          <w:lang w:val="en-US" w:eastAsia="zh-CN" w:bidi="ar-SA"/>
        </w:rPr>
        <w:t>2025年</w:t>
      </w:r>
      <w:r>
        <w:rPr>
          <w:rFonts w:hint="default" w:ascii="Times New Roman" w:hAnsi="Times New Roman" w:eastAsia="方正黑体_GBK" w:cs="Times New Roman"/>
          <w:b w:val="0"/>
          <w:bCs w:val="0"/>
          <w:kern w:val="2"/>
          <w:sz w:val="32"/>
          <w:szCs w:val="32"/>
          <w:lang w:val="en-US" w:eastAsia="zh-CN" w:bidi="ar-SA"/>
        </w:rPr>
        <w:t>一般公共预算执行情况</w:t>
      </w:r>
    </w:p>
    <w:p w14:paraId="7AD046EB">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（一）预算执行情况</w:t>
      </w:r>
    </w:p>
    <w:p w14:paraId="4B84CCBC">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w:t>
      </w:r>
      <w:r>
        <w:rPr>
          <w:rFonts w:hint="eastAsia" w:ascii="Times New Roman" w:hAnsi="Times New Roman" w:eastAsia="方正仿宋_GBK" w:cs="Times New Roman"/>
          <w:b w:val="0"/>
          <w:bCs w:val="0"/>
          <w:kern w:val="2"/>
          <w:sz w:val="32"/>
          <w:szCs w:val="32"/>
          <w:lang w:val="en-US" w:eastAsia="zh-CN" w:bidi="ar-SA"/>
        </w:rPr>
        <w:t>5</w:t>
      </w:r>
      <w:r>
        <w:rPr>
          <w:rFonts w:hint="default" w:ascii="Times New Roman" w:hAnsi="Times New Roman" w:eastAsia="方正仿宋_GBK" w:cs="Times New Roman"/>
          <w:b w:val="0"/>
          <w:bCs w:val="0"/>
          <w:kern w:val="2"/>
          <w:sz w:val="32"/>
          <w:szCs w:val="32"/>
          <w:lang w:val="en-US" w:eastAsia="zh-CN" w:bidi="ar-SA"/>
        </w:rPr>
        <w:t>年，我镇财政预算总收入</w:t>
      </w:r>
      <w:r>
        <w:rPr>
          <w:rFonts w:hint="eastAsia" w:ascii="Times New Roman" w:hAnsi="Times New Roman" w:eastAsia="方正仿宋_GBK" w:cs="Times New Roman"/>
          <w:b w:val="0"/>
          <w:bCs w:val="0"/>
          <w:kern w:val="2"/>
          <w:sz w:val="32"/>
          <w:szCs w:val="32"/>
          <w:highlight w:val="none"/>
          <w:lang w:val="en-US" w:eastAsia="zh-CN" w:bidi="ar-SA"/>
        </w:rPr>
        <w:t>3375.3</w:t>
      </w:r>
      <w:bookmarkStart w:id="0" w:name="_GoBack"/>
      <w:bookmarkEnd w:id="0"/>
      <w:r>
        <w:rPr>
          <w:rFonts w:hint="default" w:ascii="Times New Roman" w:hAnsi="Times New Roman" w:eastAsia="方正仿宋_GBK" w:cs="Times New Roman"/>
          <w:b w:val="0"/>
          <w:bCs w:val="0"/>
          <w:kern w:val="2"/>
          <w:sz w:val="32"/>
          <w:szCs w:val="32"/>
          <w:lang w:val="en-US" w:eastAsia="zh-CN" w:bidi="ar-SA"/>
        </w:rPr>
        <w:t>万元，完成年初预算的</w:t>
      </w:r>
      <w:r>
        <w:rPr>
          <w:rFonts w:hint="eastAsia" w:ascii="Times New Roman" w:hAnsi="Times New Roman" w:eastAsia="方正仿宋_GBK" w:cs="Times New Roman"/>
          <w:b w:val="0"/>
          <w:bCs w:val="0"/>
          <w:kern w:val="2"/>
          <w:sz w:val="32"/>
          <w:szCs w:val="32"/>
          <w:highlight w:val="none"/>
          <w:lang w:val="en-US" w:eastAsia="zh-CN" w:bidi="ar-SA"/>
        </w:rPr>
        <w:t>110.1</w:t>
      </w:r>
      <w:r>
        <w:rPr>
          <w:rFonts w:hint="default" w:ascii="Times New Roman" w:hAnsi="Times New Roman" w:eastAsia="方正仿宋_GBK" w:cs="Times New Roman"/>
          <w:b w:val="0"/>
          <w:bCs w:val="0"/>
          <w:kern w:val="2"/>
          <w:sz w:val="32"/>
          <w:szCs w:val="32"/>
          <w:lang w:val="en-US" w:eastAsia="zh-CN" w:bidi="ar-SA"/>
        </w:rPr>
        <w:t>%。</w:t>
      </w:r>
    </w:p>
    <w:p w14:paraId="478BEEFE">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1.一般公共预算</w:t>
      </w:r>
    </w:p>
    <w:p w14:paraId="04FA1089">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（1）一般公共预算收</w:t>
      </w:r>
      <w:r>
        <w:rPr>
          <w:rFonts w:hint="eastAsia" w:ascii="Times New Roman" w:hAnsi="Times New Roman" w:eastAsia="方正仿宋_GBK" w:cs="Times New Roman"/>
          <w:b w:val="0"/>
          <w:bCs w:val="0"/>
          <w:kern w:val="2"/>
          <w:sz w:val="32"/>
          <w:szCs w:val="32"/>
          <w:lang w:val="en-US" w:eastAsia="zh-CN" w:bidi="ar-SA"/>
        </w:rPr>
        <w:t>入3327.88</w:t>
      </w:r>
      <w:r>
        <w:rPr>
          <w:rFonts w:hint="default" w:ascii="Times New Roman" w:hAnsi="Times New Roman" w:eastAsia="方正仿宋_GBK" w:cs="Times New Roman"/>
          <w:b w:val="0"/>
          <w:bCs w:val="0"/>
          <w:kern w:val="2"/>
          <w:sz w:val="32"/>
          <w:szCs w:val="32"/>
          <w:lang w:val="en-US" w:eastAsia="zh-CN" w:bidi="ar-SA"/>
        </w:rPr>
        <w:t>万元。</w:t>
      </w:r>
    </w:p>
    <w:p w14:paraId="4B5077E9">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（2）一般公共预算支出</w:t>
      </w:r>
      <w:r>
        <w:rPr>
          <w:rFonts w:hint="eastAsia" w:ascii="Times New Roman" w:hAnsi="Times New Roman" w:eastAsia="方正仿宋_GBK" w:cs="Times New Roman"/>
          <w:b w:val="0"/>
          <w:bCs w:val="0"/>
          <w:kern w:val="2"/>
          <w:sz w:val="32"/>
          <w:szCs w:val="32"/>
          <w:lang w:val="en-US" w:eastAsia="zh-CN" w:bidi="ar-SA"/>
        </w:rPr>
        <w:t>3375.3</w:t>
      </w:r>
      <w:r>
        <w:rPr>
          <w:rFonts w:hint="default" w:ascii="Times New Roman" w:hAnsi="Times New Roman" w:eastAsia="方正仿宋_GBK" w:cs="Times New Roman"/>
          <w:b w:val="0"/>
          <w:bCs w:val="0"/>
          <w:kern w:val="2"/>
          <w:sz w:val="32"/>
          <w:szCs w:val="32"/>
          <w:lang w:val="en-US" w:eastAsia="zh-CN" w:bidi="ar-SA"/>
        </w:rPr>
        <w:t>万元</w:t>
      </w:r>
      <w:r>
        <w:rPr>
          <w:rFonts w:hint="eastAsia" w:ascii="Times New Roman" w:hAnsi="Times New Roman" w:eastAsia="方正仿宋_GBK" w:cs="Times New Roman"/>
          <w:b w:val="0"/>
          <w:bCs w:val="0"/>
          <w:kern w:val="2"/>
          <w:sz w:val="32"/>
          <w:szCs w:val="32"/>
          <w:lang w:val="en-US" w:eastAsia="zh-CN" w:bidi="ar-SA"/>
        </w:rPr>
        <w:t>，其中结转结余89.51万元</w:t>
      </w:r>
      <w:r>
        <w:rPr>
          <w:rFonts w:hint="default" w:ascii="Times New Roman" w:hAnsi="Times New Roman" w:eastAsia="方正仿宋_GBK" w:cs="Times New Roman"/>
          <w:b w:val="0"/>
          <w:bCs w:val="0"/>
          <w:kern w:val="2"/>
          <w:sz w:val="32"/>
          <w:szCs w:val="32"/>
          <w:lang w:val="en-US" w:eastAsia="zh-CN" w:bidi="ar-SA"/>
        </w:rPr>
        <w:t>。具体支出情况如下：</w:t>
      </w:r>
    </w:p>
    <w:p w14:paraId="031977DE">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一般公共服务支出</w:t>
      </w:r>
      <w:r>
        <w:rPr>
          <w:rFonts w:hint="eastAsia" w:ascii="Times New Roman" w:hAnsi="Times New Roman" w:eastAsia="方正仿宋_GBK" w:cs="Times New Roman"/>
          <w:b w:val="0"/>
          <w:bCs w:val="0"/>
          <w:kern w:val="2"/>
          <w:sz w:val="32"/>
          <w:szCs w:val="32"/>
          <w:lang w:val="en-US" w:eastAsia="zh-CN" w:bidi="ar-SA"/>
        </w:rPr>
        <w:t>1478</w:t>
      </w:r>
      <w:r>
        <w:rPr>
          <w:rFonts w:hint="default" w:ascii="Times New Roman" w:hAnsi="Times New Roman" w:eastAsia="方正仿宋_GBK" w:cs="Times New Roman"/>
          <w:b w:val="0"/>
          <w:bCs w:val="0"/>
          <w:kern w:val="2"/>
          <w:sz w:val="32"/>
          <w:szCs w:val="32"/>
          <w:lang w:val="en-US" w:eastAsia="zh-CN" w:bidi="ar-SA"/>
        </w:rPr>
        <w:t>万元，占比</w:t>
      </w:r>
      <w:r>
        <w:rPr>
          <w:rFonts w:hint="eastAsia" w:ascii="Times New Roman" w:hAnsi="Times New Roman" w:eastAsia="方正仿宋_GBK" w:cs="Times New Roman"/>
          <w:b w:val="0"/>
          <w:bCs w:val="0"/>
          <w:kern w:val="2"/>
          <w:sz w:val="32"/>
          <w:szCs w:val="32"/>
          <w:lang w:val="en-US" w:eastAsia="zh-CN" w:bidi="ar-SA"/>
        </w:rPr>
        <w:t>43.79</w:t>
      </w:r>
      <w:r>
        <w:rPr>
          <w:rFonts w:hint="default" w:ascii="Times New Roman" w:hAnsi="Times New Roman" w:eastAsia="方正仿宋_GBK" w:cs="Times New Roman"/>
          <w:b w:val="0"/>
          <w:bCs w:val="0"/>
          <w:kern w:val="2"/>
          <w:sz w:val="32"/>
          <w:szCs w:val="32"/>
          <w:lang w:val="en-US" w:eastAsia="zh-CN" w:bidi="ar-SA"/>
        </w:rPr>
        <w:t>%。主要为行政人员经费和机关公务经费、党务经费、群团事务经费。</w:t>
      </w:r>
    </w:p>
    <w:p w14:paraId="39F40C5E">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社会保障和就业支出</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411.89</w:t>
      </w:r>
      <w:r>
        <w:rPr>
          <w:rFonts w:hint="default" w:ascii="Times New Roman" w:hAnsi="Times New Roman" w:eastAsia="方正仿宋_GBK" w:cs="Times New Roman"/>
          <w:b w:val="0"/>
          <w:bCs w:val="0"/>
          <w:kern w:val="2"/>
          <w:sz w:val="32"/>
          <w:szCs w:val="32"/>
          <w:lang w:val="en-US" w:eastAsia="zh-CN" w:bidi="ar-SA"/>
        </w:rPr>
        <w:t>万元，占比</w:t>
      </w:r>
      <w:r>
        <w:rPr>
          <w:rFonts w:hint="eastAsia" w:ascii="Times New Roman" w:hAnsi="Times New Roman" w:eastAsia="方正仿宋_GBK" w:cs="Times New Roman"/>
          <w:b w:val="0"/>
          <w:bCs w:val="0"/>
          <w:kern w:val="2"/>
          <w:sz w:val="32"/>
          <w:szCs w:val="32"/>
          <w:lang w:val="en-US" w:eastAsia="zh-CN" w:bidi="ar-SA"/>
        </w:rPr>
        <w:t>12.2</w:t>
      </w:r>
      <w:r>
        <w:rPr>
          <w:rFonts w:hint="default" w:ascii="Times New Roman" w:hAnsi="Times New Roman" w:eastAsia="方正仿宋_GBK" w:cs="Times New Roman"/>
          <w:b w:val="0"/>
          <w:bCs w:val="0"/>
          <w:kern w:val="2"/>
          <w:sz w:val="32"/>
          <w:szCs w:val="32"/>
          <w:lang w:val="en-US" w:eastAsia="zh-CN" w:bidi="ar-SA"/>
        </w:rPr>
        <w:t>%。主要用于在职及退休人员经费、五保供养、老年福利等支出。</w:t>
      </w:r>
    </w:p>
    <w:p w14:paraId="6D5F7354">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 xml:space="preserve">卫生健康支出 </w:t>
      </w:r>
      <w:r>
        <w:rPr>
          <w:rFonts w:hint="eastAsia" w:ascii="Times New Roman" w:hAnsi="Times New Roman" w:eastAsia="方正仿宋_GBK" w:cs="Times New Roman"/>
          <w:b w:val="0"/>
          <w:bCs w:val="0"/>
          <w:kern w:val="2"/>
          <w:sz w:val="32"/>
          <w:szCs w:val="32"/>
          <w:lang w:val="en-US" w:eastAsia="zh-CN" w:bidi="ar-SA"/>
        </w:rPr>
        <w:t>120.15</w:t>
      </w:r>
      <w:r>
        <w:rPr>
          <w:rFonts w:hint="default" w:ascii="Times New Roman" w:hAnsi="Times New Roman" w:eastAsia="方正仿宋_GBK" w:cs="Times New Roman"/>
          <w:b w:val="0"/>
          <w:bCs w:val="0"/>
          <w:kern w:val="2"/>
          <w:sz w:val="32"/>
          <w:szCs w:val="32"/>
          <w:lang w:val="en-US" w:eastAsia="zh-CN" w:bidi="ar-SA"/>
        </w:rPr>
        <w:t>万元，占比</w:t>
      </w:r>
      <w:r>
        <w:rPr>
          <w:rFonts w:hint="eastAsia" w:ascii="Times New Roman" w:hAnsi="Times New Roman" w:eastAsia="方正仿宋_GBK" w:cs="Times New Roman"/>
          <w:b w:val="0"/>
          <w:bCs w:val="0"/>
          <w:kern w:val="2"/>
          <w:sz w:val="32"/>
          <w:szCs w:val="32"/>
          <w:lang w:val="en-US" w:eastAsia="zh-CN" w:bidi="ar-SA"/>
        </w:rPr>
        <w:t>3.56</w:t>
      </w:r>
      <w:r>
        <w:rPr>
          <w:rFonts w:hint="default" w:ascii="Times New Roman" w:hAnsi="Times New Roman" w:eastAsia="方正仿宋_GBK" w:cs="Times New Roman"/>
          <w:b w:val="0"/>
          <w:bCs w:val="0"/>
          <w:kern w:val="2"/>
          <w:sz w:val="32"/>
          <w:szCs w:val="32"/>
          <w:lang w:val="en-US" w:eastAsia="zh-CN" w:bidi="ar-SA"/>
        </w:rPr>
        <w:t>%。主要用于人员经费及运转经费、医疗保障等支出。</w:t>
      </w:r>
    </w:p>
    <w:p w14:paraId="4B2432B0">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节能环保支出</w:t>
      </w:r>
      <w:r>
        <w:rPr>
          <w:rFonts w:hint="eastAsia" w:ascii="Times New Roman" w:hAnsi="Times New Roman" w:eastAsia="方正仿宋_GBK" w:cs="Times New Roman"/>
          <w:b w:val="0"/>
          <w:bCs w:val="0"/>
          <w:kern w:val="2"/>
          <w:sz w:val="32"/>
          <w:szCs w:val="32"/>
          <w:lang w:val="en-US" w:eastAsia="zh-CN" w:bidi="ar-SA"/>
        </w:rPr>
        <w:t>101.21</w:t>
      </w:r>
      <w:r>
        <w:rPr>
          <w:rFonts w:hint="default" w:ascii="Times New Roman" w:hAnsi="Times New Roman" w:eastAsia="方正仿宋_GBK" w:cs="Times New Roman"/>
          <w:b w:val="0"/>
          <w:bCs w:val="0"/>
          <w:kern w:val="2"/>
          <w:sz w:val="32"/>
          <w:szCs w:val="32"/>
          <w:lang w:val="en-US" w:eastAsia="zh-CN" w:bidi="ar-SA"/>
        </w:rPr>
        <w:t>万元，占比</w:t>
      </w:r>
      <w:r>
        <w:rPr>
          <w:rFonts w:hint="eastAsia" w:ascii="Times New Roman" w:hAnsi="Times New Roman" w:eastAsia="方正仿宋_GBK" w:cs="Times New Roman"/>
          <w:b w:val="0"/>
          <w:bCs w:val="0"/>
          <w:kern w:val="2"/>
          <w:sz w:val="32"/>
          <w:szCs w:val="32"/>
          <w:lang w:val="en-US" w:eastAsia="zh-CN" w:bidi="ar-SA"/>
        </w:rPr>
        <w:t>3</w:t>
      </w:r>
      <w:r>
        <w:rPr>
          <w:rFonts w:hint="default" w:ascii="Times New Roman" w:hAnsi="Times New Roman" w:eastAsia="方正仿宋_GBK" w:cs="Times New Roman"/>
          <w:b w:val="0"/>
          <w:bCs w:val="0"/>
          <w:kern w:val="2"/>
          <w:sz w:val="32"/>
          <w:szCs w:val="32"/>
          <w:lang w:val="en-US" w:eastAsia="zh-CN" w:bidi="ar-SA"/>
        </w:rPr>
        <w:t>%。主要用于环境保护人员经费、运转经费及项目等支出 。</w:t>
      </w:r>
    </w:p>
    <w:p w14:paraId="04810BE2">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城乡社区支出</w:t>
      </w:r>
      <w:r>
        <w:rPr>
          <w:rFonts w:hint="eastAsia" w:ascii="Times New Roman" w:hAnsi="Times New Roman" w:eastAsia="方正仿宋_GBK" w:cs="Times New Roman"/>
          <w:b w:val="0"/>
          <w:bCs w:val="0"/>
          <w:kern w:val="2"/>
          <w:sz w:val="32"/>
          <w:szCs w:val="32"/>
          <w:lang w:val="en-US" w:eastAsia="zh-CN" w:bidi="ar-SA"/>
        </w:rPr>
        <w:t>152.63</w:t>
      </w:r>
      <w:r>
        <w:rPr>
          <w:rFonts w:hint="default" w:ascii="Times New Roman" w:hAnsi="Times New Roman" w:eastAsia="方正仿宋_GBK" w:cs="Times New Roman"/>
          <w:b w:val="0"/>
          <w:bCs w:val="0"/>
          <w:kern w:val="2"/>
          <w:sz w:val="32"/>
          <w:szCs w:val="32"/>
          <w:lang w:val="en-US" w:eastAsia="zh-CN" w:bidi="ar-SA"/>
        </w:rPr>
        <w:t>万元，占比</w:t>
      </w:r>
      <w:r>
        <w:rPr>
          <w:rFonts w:hint="eastAsia" w:ascii="Times New Roman" w:hAnsi="Times New Roman" w:eastAsia="方正仿宋_GBK" w:cs="Times New Roman"/>
          <w:b w:val="0"/>
          <w:bCs w:val="0"/>
          <w:kern w:val="2"/>
          <w:sz w:val="32"/>
          <w:szCs w:val="32"/>
          <w:lang w:val="en-US" w:eastAsia="zh-CN" w:bidi="ar-SA"/>
        </w:rPr>
        <w:t>4.52</w:t>
      </w:r>
      <w:r>
        <w:rPr>
          <w:rFonts w:hint="default" w:ascii="Times New Roman" w:hAnsi="Times New Roman" w:eastAsia="方正仿宋_GBK" w:cs="Times New Roman"/>
          <w:b w:val="0"/>
          <w:bCs w:val="0"/>
          <w:kern w:val="2"/>
          <w:sz w:val="32"/>
          <w:szCs w:val="32"/>
          <w:lang w:val="en-US" w:eastAsia="zh-CN" w:bidi="ar-SA"/>
        </w:rPr>
        <w:t>%。主要用于自然灾害风险普查、村社运行保障经费等支出。</w:t>
      </w:r>
    </w:p>
    <w:p w14:paraId="409F3FDD">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农林水支出</w:t>
      </w:r>
      <w:r>
        <w:rPr>
          <w:rFonts w:hint="eastAsia" w:ascii="Times New Roman" w:hAnsi="Times New Roman" w:eastAsia="方正仿宋_GBK" w:cs="Times New Roman"/>
          <w:b w:val="0"/>
          <w:bCs w:val="0"/>
          <w:kern w:val="2"/>
          <w:sz w:val="32"/>
          <w:szCs w:val="32"/>
          <w:highlight w:val="none"/>
          <w:lang w:val="en-US" w:eastAsia="zh-CN" w:bidi="ar-SA"/>
        </w:rPr>
        <w:t>870.85</w:t>
      </w:r>
      <w:r>
        <w:rPr>
          <w:rFonts w:hint="default" w:ascii="Times New Roman" w:hAnsi="Times New Roman" w:eastAsia="方正仿宋_GBK" w:cs="Times New Roman"/>
          <w:b w:val="0"/>
          <w:bCs w:val="0"/>
          <w:kern w:val="2"/>
          <w:sz w:val="32"/>
          <w:szCs w:val="32"/>
          <w:lang w:val="en-US" w:eastAsia="zh-CN" w:bidi="ar-SA"/>
        </w:rPr>
        <w:t>万元，占比</w:t>
      </w:r>
      <w:r>
        <w:rPr>
          <w:rFonts w:hint="eastAsia" w:ascii="Times New Roman" w:hAnsi="Times New Roman" w:eastAsia="方正仿宋_GBK" w:cs="Times New Roman"/>
          <w:b w:val="0"/>
          <w:bCs w:val="0"/>
          <w:kern w:val="2"/>
          <w:sz w:val="32"/>
          <w:szCs w:val="32"/>
          <w:lang w:val="en-US" w:eastAsia="zh-CN" w:bidi="ar-SA"/>
        </w:rPr>
        <w:t>28.45</w:t>
      </w:r>
      <w:r>
        <w:rPr>
          <w:rFonts w:hint="default" w:ascii="Times New Roman" w:hAnsi="Times New Roman" w:eastAsia="方正仿宋_GBK" w:cs="Times New Roman"/>
          <w:b w:val="0"/>
          <w:bCs w:val="0"/>
          <w:kern w:val="2"/>
          <w:sz w:val="32"/>
          <w:szCs w:val="32"/>
          <w:lang w:val="en-US" w:eastAsia="zh-CN" w:bidi="ar-SA"/>
        </w:rPr>
        <w:t>%。主要为人员经费、农村基础设施建设等项目支出。</w:t>
      </w:r>
    </w:p>
    <w:p w14:paraId="2C145C8A">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住房保障支出</w:t>
      </w:r>
      <w:r>
        <w:rPr>
          <w:rFonts w:hint="eastAsia" w:ascii="Times New Roman" w:hAnsi="Times New Roman" w:eastAsia="方正仿宋_GBK" w:cs="Times New Roman"/>
          <w:b w:val="0"/>
          <w:bCs w:val="0"/>
          <w:kern w:val="2"/>
          <w:sz w:val="32"/>
          <w:szCs w:val="32"/>
          <w:lang w:val="en-US" w:eastAsia="zh-CN" w:bidi="ar-SA"/>
        </w:rPr>
        <w:t>124.3</w:t>
      </w:r>
      <w:r>
        <w:rPr>
          <w:rFonts w:hint="default" w:ascii="Times New Roman" w:hAnsi="Times New Roman" w:eastAsia="方正仿宋_GBK" w:cs="Times New Roman"/>
          <w:b w:val="0"/>
          <w:bCs w:val="0"/>
          <w:kern w:val="2"/>
          <w:sz w:val="32"/>
          <w:szCs w:val="32"/>
          <w:lang w:val="en-US" w:eastAsia="zh-CN" w:bidi="ar-SA"/>
        </w:rPr>
        <w:t xml:space="preserve"> 万元，占比</w:t>
      </w:r>
      <w:r>
        <w:rPr>
          <w:rFonts w:hint="eastAsia" w:ascii="Times New Roman" w:hAnsi="Times New Roman" w:eastAsia="方正仿宋_GBK" w:cs="Times New Roman"/>
          <w:b w:val="0"/>
          <w:bCs w:val="0"/>
          <w:kern w:val="2"/>
          <w:sz w:val="32"/>
          <w:szCs w:val="32"/>
          <w:lang w:val="en-US" w:eastAsia="zh-CN" w:bidi="ar-SA"/>
        </w:rPr>
        <w:t>3.68</w:t>
      </w:r>
      <w:r>
        <w:rPr>
          <w:rFonts w:hint="default" w:ascii="Times New Roman" w:hAnsi="Times New Roman" w:eastAsia="方正仿宋_GBK" w:cs="Times New Roman"/>
          <w:b w:val="0"/>
          <w:bCs w:val="0"/>
          <w:kern w:val="2"/>
          <w:sz w:val="32"/>
          <w:szCs w:val="32"/>
          <w:lang w:val="en-US" w:eastAsia="zh-CN" w:bidi="ar-SA"/>
        </w:rPr>
        <w:t>%。主要用于职工住房公积金缴存支出。</w:t>
      </w:r>
    </w:p>
    <w:p w14:paraId="3CCB5EC6">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文化旅游体育与传媒支出26.76万元，占比0.79%。主要用于文化与传媒</w:t>
      </w:r>
      <w:r>
        <w:rPr>
          <w:rFonts w:hint="default" w:ascii="Times New Roman" w:hAnsi="Times New Roman" w:eastAsia="方正仿宋_GBK" w:cs="Times New Roman"/>
          <w:b w:val="0"/>
          <w:bCs w:val="0"/>
          <w:kern w:val="2"/>
          <w:sz w:val="32"/>
          <w:szCs w:val="32"/>
          <w:lang w:val="en-US" w:eastAsia="zh-CN" w:bidi="ar-SA"/>
        </w:rPr>
        <w:t xml:space="preserve">人员经费、运转经费及项目等支出 </w:t>
      </w:r>
      <w:r>
        <w:rPr>
          <w:rFonts w:hint="eastAsia" w:ascii="Times New Roman" w:hAnsi="Times New Roman" w:eastAsia="方正仿宋_GBK" w:cs="Times New Roman"/>
          <w:b w:val="0"/>
          <w:bCs w:val="0"/>
          <w:kern w:val="2"/>
          <w:sz w:val="32"/>
          <w:szCs w:val="32"/>
          <w:lang w:val="en-US" w:eastAsia="zh-CN" w:bidi="ar-SA"/>
        </w:rPr>
        <w:t>。</w:t>
      </w:r>
    </w:p>
    <w:p w14:paraId="672C558D">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2.政府性基金预算</w:t>
      </w:r>
    </w:p>
    <w:p w14:paraId="2F3DDD2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lang w:val="en-US" w:eastAsia="zh-CN"/>
        </w:rPr>
      </w:pPr>
      <w:r>
        <w:rPr>
          <w:rFonts w:hint="eastAsia" w:ascii="Times New Roman" w:hAnsi="Times New Roman" w:eastAsia="方正仿宋_GBK" w:cs="Times New Roman"/>
          <w:b w:val="0"/>
          <w:bCs w:val="0"/>
          <w:kern w:val="2"/>
          <w:sz w:val="32"/>
          <w:szCs w:val="32"/>
          <w:lang w:val="en-US" w:eastAsia="zh-CN" w:bidi="ar-SA"/>
        </w:rPr>
        <w:t>2025年政府基金预算47.42万元，均为调剂预算收入。主要用于</w:t>
      </w:r>
      <w:r>
        <w:rPr>
          <w:rFonts w:hint="default" w:ascii="Times New Roman" w:hAnsi="Times New Roman" w:eastAsia="方正仿宋_GBK" w:cs="Times New Roman"/>
          <w:b w:val="0"/>
          <w:bCs w:val="0"/>
          <w:kern w:val="2"/>
          <w:sz w:val="32"/>
          <w:szCs w:val="32"/>
          <w:lang w:val="en-US" w:eastAsia="zh-CN" w:bidi="ar-SA"/>
        </w:rPr>
        <w:t>城乡社区支出</w:t>
      </w:r>
      <w:r>
        <w:rPr>
          <w:rFonts w:hint="eastAsia" w:ascii="Times New Roman" w:hAnsi="Times New Roman" w:eastAsia="方正仿宋_GBK" w:cs="Times New Roman"/>
          <w:b w:val="0"/>
          <w:bCs w:val="0"/>
          <w:kern w:val="2"/>
          <w:sz w:val="32"/>
          <w:szCs w:val="32"/>
          <w:lang w:val="en-US" w:eastAsia="zh-CN" w:bidi="ar-SA"/>
        </w:rPr>
        <w:t>，年末无结转。</w:t>
      </w:r>
    </w:p>
    <w:p w14:paraId="3CD0434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94" w:lineRule="exact"/>
        <w:ind w:left="0" w:right="0" w:firstLine="42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各位代表，2025年我镇财政工作坚持稳中求进，取得的成绩来之不易。这是镇党委正确领导的结果，是镇人大关心帮助的结果，是全镇上下齐心协力、共同努力的结果。借此机会，谨向各位代表、各单位、各部门对财政工作的理解和支持表示衷心的感谢！在取得成绩的同时，我们也清醒地看到工作中存在的薄弱环节和亟须完善的地方</w:t>
      </w:r>
      <w:r>
        <w:rPr>
          <w:rFonts w:hint="default" w:ascii="Times New Roman" w:hAnsi="Times New Roman" w:eastAsia="方正仿宋_GBK" w:cs="Times New Roman"/>
          <w:b w:val="0"/>
          <w:bCs w:val="0"/>
          <w:kern w:val="2"/>
          <w:sz w:val="32"/>
          <w:szCs w:val="32"/>
          <w:lang w:val="en-US" w:eastAsia="zh-CN" w:bidi="ar-SA"/>
        </w:rPr>
        <w:t>一是财政收入增长乏力，财源培植及收入质量改善任重道远。202</w:t>
      </w:r>
      <w:r>
        <w:rPr>
          <w:rFonts w:hint="eastAsia" w:ascii="Times New Roman" w:hAnsi="Times New Roman" w:eastAsia="方正仿宋_GBK" w:cs="Times New Roman"/>
          <w:b w:val="0"/>
          <w:bCs w:val="0"/>
          <w:kern w:val="2"/>
          <w:sz w:val="32"/>
          <w:szCs w:val="32"/>
          <w:lang w:val="en-US" w:eastAsia="zh-CN" w:bidi="ar-SA"/>
        </w:rPr>
        <w:t>5</w:t>
      </w:r>
      <w:r>
        <w:rPr>
          <w:rFonts w:hint="default" w:ascii="Times New Roman" w:hAnsi="Times New Roman" w:eastAsia="方正仿宋_GBK" w:cs="Times New Roman"/>
          <w:b w:val="0"/>
          <w:bCs w:val="0"/>
          <w:kern w:val="2"/>
          <w:sz w:val="32"/>
          <w:szCs w:val="32"/>
          <w:lang w:val="en-US" w:eastAsia="zh-CN" w:bidi="ar-SA"/>
        </w:rPr>
        <w:t>年非税收入税费均已征缴入库，</w:t>
      </w:r>
      <w:r>
        <w:rPr>
          <w:rFonts w:hint="eastAsia" w:ascii="Times New Roman" w:hAnsi="Times New Roman" w:eastAsia="方正仿宋_GBK" w:cs="Times New Roman"/>
          <w:b w:val="0"/>
          <w:bCs w:val="0"/>
          <w:kern w:val="2"/>
          <w:sz w:val="32"/>
          <w:szCs w:val="32"/>
          <w:lang w:val="en-US" w:eastAsia="zh-CN" w:bidi="ar-SA"/>
        </w:rPr>
        <w:t>配套费42.02万元、污水处理费43.27万元、垃圾处置费28.07万元，合计113.47万元，</w:t>
      </w:r>
      <w:r>
        <w:rPr>
          <w:rFonts w:hint="default" w:ascii="Times New Roman" w:hAnsi="Times New Roman" w:eastAsia="方正仿宋_GBK" w:cs="Times New Roman"/>
          <w:b w:val="0"/>
          <w:bCs w:val="0"/>
          <w:kern w:val="2"/>
          <w:sz w:val="32"/>
          <w:szCs w:val="32"/>
          <w:lang w:val="en-US" w:eastAsia="zh-CN" w:bidi="ar-SA"/>
        </w:rPr>
        <w:t>征收总额</w:t>
      </w:r>
      <w:r>
        <w:rPr>
          <w:rFonts w:hint="eastAsia" w:ascii="Times New Roman" w:hAnsi="Times New Roman" w:eastAsia="方正仿宋_GBK" w:cs="Times New Roman"/>
          <w:b w:val="0"/>
          <w:bCs w:val="0"/>
          <w:kern w:val="2"/>
          <w:sz w:val="32"/>
          <w:szCs w:val="32"/>
          <w:lang w:val="en-US" w:eastAsia="zh-CN" w:bidi="ar-SA"/>
        </w:rPr>
        <w:t>较上年仅仅增长13万元</w:t>
      </w:r>
      <w:r>
        <w:rPr>
          <w:rFonts w:hint="default" w:ascii="Times New Roman" w:hAnsi="Times New Roman" w:eastAsia="方正仿宋_GBK" w:cs="Times New Roman"/>
          <w:b w:val="0"/>
          <w:bCs w:val="0"/>
          <w:kern w:val="2"/>
          <w:sz w:val="32"/>
          <w:szCs w:val="32"/>
          <w:lang w:val="en-US" w:eastAsia="zh-CN" w:bidi="ar-SA"/>
        </w:rPr>
        <w:t>。二是支出方面，民生保障、安全生产、环保攻坚等方面刚性支出持续加大。为此，我们将高度重视，认真听取各位代表的意见建议，在今后的工作中采取有效措施切实加以解决。</w:t>
      </w:r>
    </w:p>
    <w:p w14:paraId="57241C77">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r>
        <w:rPr>
          <w:rFonts w:hint="eastAsia" w:ascii="Times New Roman" w:hAnsi="Times New Roman" w:eastAsia="方正黑体_GBK" w:cs="Times New Roman"/>
          <w:b w:val="0"/>
          <w:bCs w:val="0"/>
          <w:kern w:val="2"/>
          <w:sz w:val="32"/>
          <w:szCs w:val="32"/>
          <w:lang w:val="en-US" w:eastAsia="zh-CN" w:bidi="ar-SA"/>
        </w:rPr>
        <w:t>二、</w:t>
      </w:r>
      <w:r>
        <w:rPr>
          <w:rFonts w:hint="default" w:ascii="Times New Roman" w:hAnsi="Times New Roman" w:eastAsia="方正黑体_GBK" w:cs="Times New Roman"/>
          <w:b w:val="0"/>
          <w:bCs w:val="0"/>
          <w:kern w:val="2"/>
          <w:sz w:val="32"/>
          <w:szCs w:val="32"/>
          <w:lang w:val="en-US" w:eastAsia="zh-CN" w:bidi="ar-SA"/>
        </w:rPr>
        <w:t xml:space="preserve"> 2026年财政预算</w:t>
      </w:r>
      <w:r>
        <w:rPr>
          <w:rFonts w:hint="eastAsia" w:ascii="Times New Roman" w:hAnsi="Times New Roman" w:eastAsia="方正黑体_GBK" w:cs="Times New Roman"/>
          <w:b w:val="0"/>
          <w:bCs w:val="0"/>
          <w:kern w:val="2"/>
          <w:sz w:val="32"/>
          <w:szCs w:val="32"/>
          <w:lang w:val="en-US" w:eastAsia="zh-CN" w:bidi="ar-SA"/>
        </w:rPr>
        <w:t>（</w:t>
      </w:r>
      <w:r>
        <w:rPr>
          <w:rFonts w:hint="default" w:ascii="Times New Roman" w:hAnsi="Times New Roman" w:eastAsia="方正黑体_GBK" w:cs="Times New Roman"/>
          <w:b w:val="0"/>
          <w:bCs w:val="0"/>
          <w:kern w:val="2"/>
          <w:sz w:val="32"/>
          <w:szCs w:val="32"/>
          <w:lang w:val="en-US" w:eastAsia="zh-CN" w:bidi="ar-SA"/>
        </w:rPr>
        <w:t>草案</w:t>
      </w:r>
      <w:r>
        <w:rPr>
          <w:rFonts w:hint="eastAsia" w:ascii="Times New Roman" w:hAnsi="Times New Roman" w:eastAsia="方正黑体_GBK" w:cs="Times New Roman"/>
          <w:b w:val="0"/>
          <w:bCs w:val="0"/>
          <w:kern w:val="2"/>
          <w:sz w:val="32"/>
          <w:szCs w:val="32"/>
          <w:lang w:val="en-US" w:eastAsia="zh-CN" w:bidi="ar-SA"/>
        </w:rPr>
        <w:t>）</w:t>
      </w:r>
    </w:p>
    <w:p w14:paraId="750CFBE5">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（一）财政收入预算</w:t>
      </w:r>
    </w:p>
    <w:p w14:paraId="68F7692E">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w:t>
      </w:r>
      <w:r>
        <w:rPr>
          <w:rFonts w:hint="eastAsia" w:ascii="Times New Roman" w:hAnsi="Times New Roman" w:eastAsia="方正仿宋_GBK" w:cs="Times New Roman"/>
          <w:b w:val="0"/>
          <w:bCs w:val="0"/>
          <w:kern w:val="2"/>
          <w:sz w:val="32"/>
          <w:szCs w:val="32"/>
          <w:lang w:val="en-US" w:eastAsia="zh-CN" w:bidi="ar-SA"/>
        </w:rPr>
        <w:t>6</w:t>
      </w:r>
      <w:r>
        <w:rPr>
          <w:rFonts w:hint="default" w:ascii="Times New Roman" w:hAnsi="Times New Roman" w:eastAsia="方正仿宋_GBK" w:cs="Times New Roman"/>
          <w:b w:val="0"/>
          <w:bCs w:val="0"/>
          <w:kern w:val="2"/>
          <w:sz w:val="32"/>
          <w:szCs w:val="32"/>
          <w:lang w:val="en-US" w:eastAsia="zh-CN" w:bidi="ar-SA"/>
        </w:rPr>
        <w:t>年乡（镇）财政总收入预算目标为</w:t>
      </w:r>
      <w:r>
        <w:rPr>
          <w:rFonts w:hint="eastAsia" w:ascii="Times New Roman" w:hAnsi="Times New Roman" w:eastAsia="方正仿宋_GBK" w:cs="Times New Roman"/>
          <w:b w:val="0"/>
          <w:bCs w:val="0"/>
          <w:kern w:val="2"/>
          <w:sz w:val="32"/>
          <w:szCs w:val="32"/>
          <w:lang w:val="en-US" w:eastAsia="zh-CN" w:bidi="ar-SA"/>
        </w:rPr>
        <w:t>3410.4</w:t>
      </w:r>
      <w:r>
        <w:rPr>
          <w:rFonts w:hint="default" w:ascii="Times New Roman" w:hAnsi="Times New Roman" w:eastAsia="方正仿宋_GBK" w:cs="Times New Roman"/>
          <w:b w:val="0"/>
          <w:bCs w:val="0"/>
          <w:kern w:val="2"/>
          <w:sz w:val="32"/>
          <w:szCs w:val="32"/>
          <w:lang w:val="en-US" w:eastAsia="zh-CN" w:bidi="ar-SA"/>
        </w:rPr>
        <w:t>万元，是上年预算的</w:t>
      </w:r>
      <w:r>
        <w:rPr>
          <w:rFonts w:hint="eastAsia" w:ascii="Times New Roman" w:hAnsi="Times New Roman" w:eastAsia="方正仿宋_GBK" w:cs="Times New Roman"/>
          <w:b w:val="0"/>
          <w:bCs w:val="0"/>
          <w:kern w:val="2"/>
          <w:sz w:val="32"/>
          <w:szCs w:val="32"/>
          <w:highlight w:val="none"/>
          <w:lang w:val="en-US" w:eastAsia="zh-CN" w:bidi="ar-SA"/>
        </w:rPr>
        <w:t>101.39</w:t>
      </w:r>
      <w:r>
        <w:rPr>
          <w:rFonts w:hint="default" w:ascii="Times New Roman" w:hAnsi="Times New Roman" w:eastAsia="方正仿宋_GBK" w:cs="Times New Roman"/>
          <w:b w:val="0"/>
          <w:bCs w:val="0"/>
          <w:kern w:val="2"/>
          <w:sz w:val="32"/>
          <w:szCs w:val="32"/>
          <w:lang w:val="en-US" w:eastAsia="zh-CN" w:bidi="ar-SA"/>
        </w:rPr>
        <w:t>%。</w:t>
      </w:r>
    </w:p>
    <w:p w14:paraId="569BEDAF">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基金预算收入和其他专项资金收入要根据区政府和区级部门项目安排再追加。</w:t>
      </w:r>
    </w:p>
    <w:p w14:paraId="1F79BF16">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（二）财政一般公共预算支出安排</w:t>
      </w:r>
    </w:p>
    <w:p w14:paraId="35F9C56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w:t>
      </w:r>
      <w:r>
        <w:rPr>
          <w:rFonts w:hint="eastAsia" w:ascii="Times New Roman" w:hAnsi="Times New Roman" w:eastAsia="方正仿宋_GBK" w:cs="Times New Roman"/>
          <w:b w:val="0"/>
          <w:bCs w:val="0"/>
          <w:kern w:val="2"/>
          <w:sz w:val="32"/>
          <w:szCs w:val="32"/>
          <w:lang w:val="en-US" w:eastAsia="zh-CN" w:bidi="ar-SA"/>
        </w:rPr>
        <w:t>6</w:t>
      </w:r>
      <w:r>
        <w:rPr>
          <w:rFonts w:hint="default" w:ascii="Times New Roman" w:hAnsi="Times New Roman" w:eastAsia="方正仿宋_GBK" w:cs="Times New Roman"/>
          <w:b w:val="0"/>
          <w:bCs w:val="0"/>
          <w:kern w:val="2"/>
          <w:sz w:val="32"/>
          <w:szCs w:val="32"/>
          <w:lang w:val="en-US" w:eastAsia="zh-CN" w:bidi="ar-SA"/>
        </w:rPr>
        <w:t>年乡（镇）财政安排的一般预算支出为</w:t>
      </w:r>
      <w:r>
        <w:rPr>
          <w:rFonts w:hint="eastAsia" w:ascii="Times New Roman" w:hAnsi="Times New Roman" w:eastAsia="方正仿宋_GBK" w:cs="Times New Roman"/>
          <w:b w:val="0"/>
          <w:bCs w:val="0"/>
          <w:kern w:val="2"/>
          <w:sz w:val="32"/>
          <w:szCs w:val="32"/>
          <w:lang w:val="en-US" w:eastAsia="zh-CN" w:bidi="ar-SA"/>
        </w:rPr>
        <w:t>3410.4</w:t>
      </w:r>
      <w:r>
        <w:rPr>
          <w:rFonts w:hint="default" w:ascii="Times New Roman" w:hAnsi="Times New Roman" w:eastAsia="方正仿宋_GBK" w:cs="Times New Roman"/>
          <w:b w:val="0"/>
          <w:bCs w:val="0"/>
          <w:kern w:val="2"/>
          <w:sz w:val="32"/>
          <w:szCs w:val="32"/>
          <w:lang w:val="en-US" w:eastAsia="zh-CN" w:bidi="ar-SA"/>
        </w:rPr>
        <w:t>万元,分项目明细如下：</w:t>
      </w:r>
    </w:p>
    <w:p w14:paraId="06264BF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1.一般公共服务支出</w:t>
      </w:r>
      <w:r>
        <w:rPr>
          <w:rFonts w:hint="eastAsia" w:ascii="Times New Roman" w:hAnsi="Times New Roman" w:eastAsia="方正仿宋_GBK" w:cs="Times New Roman"/>
          <w:b w:val="0"/>
          <w:bCs w:val="0"/>
          <w:kern w:val="2"/>
          <w:sz w:val="32"/>
          <w:szCs w:val="32"/>
          <w:lang w:val="en-US" w:eastAsia="zh-CN" w:bidi="ar-SA"/>
        </w:rPr>
        <w:t>1217.86</w:t>
      </w:r>
      <w:r>
        <w:rPr>
          <w:rFonts w:hint="default" w:ascii="Times New Roman" w:hAnsi="Times New Roman" w:eastAsia="方正仿宋_GBK" w:cs="Times New Roman"/>
          <w:b w:val="0"/>
          <w:bCs w:val="0"/>
          <w:kern w:val="2"/>
          <w:sz w:val="32"/>
          <w:szCs w:val="32"/>
          <w:lang w:val="en-US" w:eastAsia="zh-CN" w:bidi="ar-SA"/>
        </w:rPr>
        <w:t>万元。</w:t>
      </w:r>
    </w:p>
    <w:p w14:paraId="46719D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2.文化旅游体育与传媒支出</w:t>
      </w:r>
      <w:r>
        <w:rPr>
          <w:rFonts w:hint="eastAsia" w:ascii="Times New Roman" w:hAnsi="Times New Roman" w:eastAsia="方正仿宋_GBK" w:cs="Times New Roman"/>
          <w:b w:val="0"/>
          <w:bCs w:val="0"/>
          <w:kern w:val="2"/>
          <w:sz w:val="32"/>
          <w:szCs w:val="32"/>
          <w:lang w:val="en-US" w:eastAsia="zh-CN" w:bidi="ar-SA"/>
        </w:rPr>
        <w:t>63.45</w:t>
      </w:r>
      <w:r>
        <w:rPr>
          <w:rFonts w:hint="default" w:ascii="Times New Roman" w:hAnsi="Times New Roman" w:eastAsia="方正仿宋_GBK" w:cs="Times New Roman"/>
          <w:b w:val="0"/>
          <w:bCs w:val="0"/>
          <w:kern w:val="2"/>
          <w:sz w:val="32"/>
          <w:szCs w:val="32"/>
          <w:lang w:val="en-US" w:eastAsia="zh-CN" w:bidi="ar-SA"/>
        </w:rPr>
        <w:t>万元。</w:t>
      </w:r>
    </w:p>
    <w:p w14:paraId="6072825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3.社会保障和就业支出</w:t>
      </w:r>
      <w:r>
        <w:rPr>
          <w:rFonts w:hint="eastAsia" w:ascii="Times New Roman" w:hAnsi="Times New Roman" w:eastAsia="方正仿宋_GBK" w:cs="Times New Roman"/>
          <w:b w:val="0"/>
          <w:bCs w:val="0"/>
          <w:kern w:val="2"/>
          <w:sz w:val="32"/>
          <w:szCs w:val="32"/>
          <w:lang w:val="en-US" w:eastAsia="zh-CN" w:bidi="ar-SA"/>
        </w:rPr>
        <w:t>408.64</w:t>
      </w:r>
      <w:r>
        <w:rPr>
          <w:rFonts w:hint="default" w:ascii="Times New Roman" w:hAnsi="Times New Roman" w:eastAsia="方正仿宋_GBK" w:cs="Times New Roman"/>
          <w:b w:val="0"/>
          <w:bCs w:val="0"/>
          <w:kern w:val="2"/>
          <w:sz w:val="32"/>
          <w:szCs w:val="32"/>
          <w:lang w:val="en-US" w:eastAsia="zh-CN" w:bidi="ar-SA"/>
        </w:rPr>
        <w:t>万元。</w:t>
      </w:r>
    </w:p>
    <w:p w14:paraId="183411C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4.卫生健康支出</w:t>
      </w:r>
      <w:r>
        <w:rPr>
          <w:rFonts w:hint="eastAsia" w:ascii="Times New Roman" w:hAnsi="Times New Roman" w:eastAsia="方正仿宋_GBK" w:cs="Times New Roman"/>
          <w:b w:val="0"/>
          <w:bCs w:val="0"/>
          <w:kern w:val="2"/>
          <w:sz w:val="32"/>
          <w:szCs w:val="32"/>
          <w:lang w:val="en-US" w:eastAsia="zh-CN" w:bidi="ar-SA"/>
        </w:rPr>
        <w:t>130.16</w:t>
      </w:r>
      <w:r>
        <w:rPr>
          <w:rFonts w:hint="default" w:ascii="Times New Roman" w:hAnsi="Times New Roman" w:eastAsia="方正仿宋_GBK" w:cs="Times New Roman"/>
          <w:b w:val="0"/>
          <w:bCs w:val="0"/>
          <w:kern w:val="2"/>
          <w:sz w:val="32"/>
          <w:szCs w:val="32"/>
          <w:lang w:val="en-US" w:eastAsia="zh-CN" w:bidi="ar-SA"/>
        </w:rPr>
        <w:t xml:space="preserve">万元。              </w:t>
      </w:r>
    </w:p>
    <w:p w14:paraId="30EEEA2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 xml:space="preserve">5.城乡社区支出 </w:t>
      </w:r>
      <w:r>
        <w:rPr>
          <w:rFonts w:hint="eastAsia" w:ascii="Times New Roman" w:hAnsi="Times New Roman" w:eastAsia="方正仿宋_GBK" w:cs="Times New Roman"/>
          <w:b w:val="0"/>
          <w:bCs w:val="0"/>
          <w:kern w:val="2"/>
          <w:sz w:val="32"/>
          <w:szCs w:val="32"/>
          <w:lang w:val="en-US" w:eastAsia="zh-CN" w:bidi="ar-SA"/>
        </w:rPr>
        <w:t>518.4</w:t>
      </w:r>
      <w:r>
        <w:rPr>
          <w:rFonts w:hint="default" w:ascii="Times New Roman" w:hAnsi="Times New Roman" w:eastAsia="方正仿宋_GBK" w:cs="Times New Roman"/>
          <w:b w:val="0"/>
          <w:bCs w:val="0"/>
          <w:kern w:val="2"/>
          <w:sz w:val="32"/>
          <w:szCs w:val="32"/>
          <w:lang w:val="en-US" w:eastAsia="zh-CN" w:bidi="ar-SA"/>
        </w:rPr>
        <w:t>万元。</w:t>
      </w:r>
    </w:p>
    <w:p w14:paraId="36544B8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6.农林水支出</w:t>
      </w:r>
      <w:r>
        <w:rPr>
          <w:rFonts w:hint="eastAsia" w:ascii="Times New Roman" w:hAnsi="Times New Roman" w:eastAsia="方正仿宋_GBK" w:cs="Times New Roman"/>
          <w:b w:val="0"/>
          <w:bCs w:val="0"/>
          <w:kern w:val="2"/>
          <w:sz w:val="32"/>
          <w:szCs w:val="32"/>
          <w:lang w:val="en-US" w:eastAsia="zh-CN" w:bidi="ar-SA"/>
        </w:rPr>
        <w:t>770.56</w:t>
      </w:r>
      <w:r>
        <w:rPr>
          <w:rFonts w:hint="default" w:ascii="Times New Roman" w:hAnsi="Times New Roman" w:eastAsia="方正仿宋_GBK" w:cs="Times New Roman"/>
          <w:b w:val="0"/>
          <w:bCs w:val="0"/>
          <w:kern w:val="2"/>
          <w:sz w:val="32"/>
          <w:szCs w:val="32"/>
          <w:lang w:val="en-US" w:eastAsia="zh-CN" w:bidi="ar-SA"/>
        </w:rPr>
        <w:t>万元。</w:t>
      </w:r>
    </w:p>
    <w:p w14:paraId="1DD7259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 xml:space="preserve">7.住房保障支出 </w:t>
      </w:r>
      <w:r>
        <w:rPr>
          <w:rFonts w:hint="eastAsia" w:ascii="Times New Roman" w:hAnsi="Times New Roman" w:eastAsia="方正仿宋_GBK" w:cs="Times New Roman"/>
          <w:b w:val="0"/>
          <w:bCs w:val="0"/>
          <w:kern w:val="2"/>
          <w:sz w:val="32"/>
          <w:szCs w:val="32"/>
          <w:lang w:val="en-US" w:eastAsia="zh-CN" w:bidi="ar-SA"/>
        </w:rPr>
        <w:t>127.84</w:t>
      </w:r>
      <w:r>
        <w:rPr>
          <w:rFonts w:hint="default" w:ascii="Times New Roman" w:hAnsi="Times New Roman" w:eastAsia="方正仿宋_GBK" w:cs="Times New Roman"/>
          <w:b w:val="0"/>
          <w:bCs w:val="0"/>
          <w:kern w:val="2"/>
          <w:sz w:val="32"/>
          <w:szCs w:val="32"/>
          <w:lang w:val="en-US" w:eastAsia="zh-CN" w:bidi="ar-SA"/>
        </w:rPr>
        <w:t xml:space="preserve"> 万元。</w:t>
      </w:r>
    </w:p>
    <w:p w14:paraId="4157618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8.节能环保支出173.49万元。</w:t>
      </w:r>
    </w:p>
    <w:p w14:paraId="0318748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（三）财政其他专项资金支出安排</w:t>
      </w:r>
    </w:p>
    <w:p w14:paraId="5F0E608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w:t>
      </w:r>
      <w:r>
        <w:rPr>
          <w:rFonts w:hint="eastAsia" w:ascii="Times New Roman" w:hAnsi="Times New Roman" w:eastAsia="方正仿宋_GBK" w:cs="Times New Roman"/>
          <w:b w:val="0"/>
          <w:bCs w:val="0"/>
          <w:kern w:val="2"/>
          <w:sz w:val="32"/>
          <w:szCs w:val="32"/>
          <w:lang w:val="en-US" w:eastAsia="zh-CN" w:bidi="ar-SA"/>
        </w:rPr>
        <w:t>6</w:t>
      </w:r>
      <w:r>
        <w:rPr>
          <w:rFonts w:hint="default" w:ascii="Times New Roman" w:hAnsi="Times New Roman" w:eastAsia="方正仿宋_GBK" w:cs="Times New Roman"/>
          <w:b w:val="0"/>
          <w:bCs w:val="0"/>
          <w:kern w:val="2"/>
          <w:sz w:val="32"/>
          <w:szCs w:val="32"/>
          <w:lang w:val="en-US" w:eastAsia="zh-CN" w:bidi="ar-SA"/>
        </w:rPr>
        <w:t>年大进镇财政其他专项资金年初无预算安排支出。</w:t>
      </w:r>
    </w:p>
    <w:p w14:paraId="4E7D3DA2">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各位代表，做好2026年财政工作任务艰巨、责任重大。我们将坚定信心、攻坚克难、真抓实干、锐意进取，扎实完成年度预算任务，持续提升财政治理能力，全力保障全镇经济社会高质量发展，为奋力谱写大进镇现代化建设新篇章作出新的更大贡献！</w:t>
      </w:r>
    </w:p>
    <w:p w14:paraId="01A65E08">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kern w:val="2"/>
          <w:sz w:val="32"/>
          <w:szCs w:val="32"/>
          <w:lang w:val="en-US" w:eastAsia="zh-CN" w:bidi="ar-SA"/>
        </w:rPr>
      </w:pPr>
    </w:p>
    <w:p w14:paraId="088FEB18">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lang w:val="en-US" w:eastAsia="zh-CN"/>
        </w:rPr>
      </w:pPr>
    </w:p>
    <w:p w14:paraId="129D72E2">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jc w:val="center"/>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xml:space="preserve">                                        重庆市开州区</w:t>
      </w:r>
      <w:r>
        <w:rPr>
          <w:rFonts w:hint="default" w:ascii="Times New Roman" w:hAnsi="Times New Roman" w:eastAsia="方正仿宋_GBK" w:cs="Times New Roman"/>
          <w:b w:val="0"/>
          <w:bCs w:val="0"/>
          <w:kern w:val="2"/>
          <w:sz w:val="32"/>
          <w:szCs w:val="32"/>
          <w:lang w:val="en-US" w:eastAsia="zh-CN" w:bidi="ar-SA"/>
        </w:rPr>
        <w:t>大进镇人民政府</w:t>
      </w:r>
    </w:p>
    <w:p w14:paraId="06F33664">
      <w:pPr>
        <w:pStyle w:val="6"/>
        <w:keepNext w:val="0"/>
        <w:keepLines w:val="0"/>
        <w:pageBreakBefore w:val="0"/>
        <w:kinsoku/>
        <w:wordWrap/>
        <w:overflowPunct/>
        <w:topLinePunct w:val="0"/>
        <w:autoSpaceDE/>
        <w:autoSpaceDN/>
        <w:bidi w:val="0"/>
        <w:adjustRightInd/>
        <w:snapToGrid/>
        <w:spacing w:before="0" w:after="0" w:line="594" w:lineRule="exact"/>
        <w:ind w:firstLine="640" w:firstLineChars="200"/>
        <w:jc w:val="center"/>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xml:space="preserve">                                             </w:t>
      </w:r>
      <w:r>
        <w:rPr>
          <w:rFonts w:hint="default" w:ascii="Times New Roman" w:hAnsi="Times New Roman" w:eastAsia="方正仿宋_GBK" w:cs="Times New Roman"/>
          <w:b w:val="0"/>
          <w:bCs w:val="0"/>
          <w:kern w:val="2"/>
          <w:sz w:val="32"/>
          <w:szCs w:val="32"/>
          <w:lang w:val="en-US" w:eastAsia="zh-CN" w:bidi="ar-SA"/>
        </w:rPr>
        <w:t>2026年</w:t>
      </w:r>
      <w:r>
        <w:rPr>
          <w:rFonts w:hint="eastAsia" w:ascii="Times New Roman" w:hAnsi="Times New Roman" w:eastAsia="方正仿宋_GBK" w:cs="Times New Roman"/>
          <w:b w:val="0"/>
          <w:bCs w:val="0"/>
          <w:kern w:val="2"/>
          <w:sz w:val="32"/>
          <w:szCs w:val="32"/>
          <w:lang w:val="en-US" w:eastAsia="zh-CN" w:bidi="ar-SA"/>
        </w:rPr>
        <w:t>2</w:t>
      </w:r>
      <w:r>
        <w:rPr>
          <w:rFonts w:hint="default" w:ascii="Times New Roman" w:hAnsi="Times New Roman" w:eastAsia="方正仿宋_GBK" w:cs="Times New Roman"/>
          <w:b w:val="0"/>
          <w:bCs w:val="0"/>
          <w:kern w:val="2"/>
          <w:sz w:val="32"/>
          <w:szCs w:val="32"/>
          <w:lang w:val="en-US" w:eastAsia="zh-CN" w:bidi="ar-SA"/>
        </w:rPr>
        <w:t>月</w:t>
      </w:r>
      <w:r>
        <w:rPr>
          <w:rFonts w:hint="eastAsia" w:ascii="Times New Roman" w:hAnsi="Times New Roman" w:eastAsia="方正仿宋_GBK" w:cs="Times New Roman"/>
          <w:b w:val="0"/>
          <w:bCs w:val="0"/>
          <w:kern w:val="2"/>
          <w:sz w:val="32"/>
          <w:szCs w:val="32"/>
          <w:lang w:val="en-US" w:eastAsia="zh-CN" w:bidi="ar-SA"/>
        </w:rPr>
        <w:t>5</w:t>
      </w:r>
      <w:r>
        <w:rPr>
          <w:rFonts w:hint="default" w:ascii="Times New Roman" w:hAnsi="Times New Roman" w:eastAsia="方正仿宋_GBK" w:cs="Times New Roman"/>
          <w:b w:val="0"/>
          <w:bCs w:val="0"/>
          <w:kern w:val="2"/>
          <w:sz w:val="32"/>
          <w:szCs w:val="32"/>
          <w:lang w:val="en-US" w:eastAsia="zh-CN" w:bidi="ar-SA"/>
        </w:rPr>
        <w:t>日</w:t>
      </w:r>
    </w:p>
    <w:p w14:paraId="6C73CCFD">
      <w:pPr>
        <w:pStyle w:val="6"/>
        <w:keepNext w:val="0"/>
        <w:keepLines w:val="0"/>
        <w:pageBreakBefore w:val="0"/>
        <w:kinsoku/>
        <w:wordWrap/>
        <w:overflowPunct/>
        <w:topLinePunct w:val="0"/>
        <w:autoSpaceDE/>
        <w:autoSpaceDN/>
        <w:bidi w:val="0"/>
        <w:adjustRightInd/>
        <w:snapToGrid/>
        <w:ind w:firstLine="560" w:firstLineChars="200"/>
        <w:textAlignment w:val="auto"/>
      </w:pPr>
    </w:p>
    <w:sectPr>
      <w:footerReference r:id="rId3" w:type="default"/>
      <w:pgSz w:w="11906" w:h="16838"/>
      <w:pgMar w:top="1984" w:right="1446" w:bottom="1644" w:left="1446"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BF8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FDB9C">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9FDB9C">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AD00FF4"/>
    <w:rsid w:val="20E45011"/>
    <w:rsid w:val="4219141F"/>
    <w:rsid w:val="4F7714A7"/>
    <w:rsid w:val="56E632DE"/>
    <w:rsid w:val="5C0053CB"/>
    <w:rsid w:val="610E05AF"/>
    <w:rsid w:val="6F9A0CC2"/>
    <w:rsid w:val="77BF249E"/>
    <w:rsid w:val="7FDB97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7">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8">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rPr>
      <w:rFonts w:ascii="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20"/>
    <w:semiHidden/>
    <w:unhideWhenUsed/>
    <w:qFormat/>
    <w:uiPriority w:val="99"/>
    <w:pPr>
      <w:spacing w:after="0" w:line="240" w:lineRule="auto"/>
    </w:pPr>
    <w:rPr>
      <w:rFonts w:asciiTheme="minorHAnsi" w:hAnsiTheme="minorHAnsi" w:eastAsiaTheme="minorEastAsia" w:cstheme="minorBidi"/>
      <w:sz w:val="2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Theme="minorHAnsi" w:hAnsiTheme="minorHAnsi" w:eastAsiaTheme="minorEastAsia" w:cstheme="minorBidi"/>
      <w:sz w:val="21"/>
      <w:szCs w:val="22"/>
    </w:rPr>
  </w:style>
  <w:style w:type="character" w:customStyle="1" w:styleId="20">
    <w:name w:val="Footnote Text Char"/>
    <w:link w:val="11"/>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1407</Words>
  <Characters>1631</Characters>
  <TotalTime>8</TotalTime>
  <ScaleCrop>false</ScaleCrop>
  <LinksUpToDate>false</LinksUpToDate>
  <CharactersWithSpaces>1738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2026-02-05T17:36:00Z</dcterms:created>
  <dc:creator>Un-named</dc:creator>
  <cp:lastModifiedBy>黄孝敏</cp:lastModifiedBy>
  <dcterms:modified xsi:type="dcterms:W3CDTF">2026-03-06T07:26:44Z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eyJoZGlkIjoiN2QxZGUzNmIyZDQ2NTMxNmI3ZTRjZDJiNjljZGY5MDAiLCJ1c2VySWQiOiIxNjU3Nzg2OTg3In0=</vt:lpwstr>
  </property>
  <property fmtid="{D5CDD505-2E9C-101B-9397-08002B2CF9AE}" pid="3" name="KSOProductBuildVer">
    <vt:lpwstr>2052-12.1.0.25225</vt:lpwstr>
  </property>
  <property fmtid="{D5CDD505-2E9C-101B-9397-08002B2CF9AE}" pid="4" name="ICV">
    <vt:lpwstr>98E4FF932F1248D7BD9A410A3A71518D_12</vt:lpwstr>
  </property>
</Properties>
</file>