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eastAsia"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r>
        <w:rPr>
          <w:rFonts w:hint="eastAsia" w:ascii="Times New Roman" w:hAnsi="Times New Roman" w:eastAsia="方正仿宋_GBK" w:cs="Times New Roman"/>
          <w:color w:val="000000"/>
          <w:sz w:val="32"/>
          <w:szCs w:val="32"/>
          <w:lang w:val="en-US" w:eastAsia="zh-CN"/>
        </w:rPr>
        <w:t xml:space="preserve">                  签发人：</w:t>
      </w:r>
      <w:r>
        <w:rPr>
          <w:rFonts w:hint="eastAsia" w:ascii="方正楷体_GBK" w:hAnsi="方正楷体_GBK" w:eastAsia="方正楷体_GBK" w:cs="方正楷体_GBK"/>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重庆市开州区</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eastAsia" w:ascii="方正小标宋_GBK" w:hAnsi="方正小标宋_GBK" w:eastAsia="方正小标宋_GBK" w:cs="方正小标宋_GBK"/>
          <w:color w:val="FF0000"/>
          <w:sz w:val="44"/>
          <w:szCs w:val="44"/>
          <w:highlight w:val="none"/>
          <w:lang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三汇口乡人民政府</w:t>
      </w:r>
      <w:r>
        <w:rPr>
          <w:rFonts w:hint="eastAsia" w:ascii="方正小标宋_GBK" w:hAnsi="方正小标宋_GBK" w:eastAsia="方正小标宋_GBK" w:cs="方正小标宋_GBK"/>
          <w:color w:val="000000"/>
          <w:sz w:val="44"/>
          <w:szCs w:val="44"/>
          <w:highlight w:val="none"/>
          <w:lang w:eastAsia="zh-CN"/>
        </w:rPr>
        <w:t>（本级）</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部门</w:t>
      </w:r>
      <w:r>
        <w:rPr>
          <w:rFonts w:hint="eastAsia" w:ascii="方正小标宋_GBK" w:hAnsi="方正小标宋_GBK" w:eastAsia="方正小标宋_GBK" w:cs="方正小标宋_GBK"/>
          <w:sz w:val="44"/>
          <w:szCs w:val="44"/>
          <w:highlight w:val="none"/>
        </w:rPr>
        <w:t>预算情况公开</w:t>
      </w: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的</w:t>
      </w:r>
      <w:r>
        <w:rPr>
          <w:rFonts w:hint="eastAsia" w:ascii="方正小标宋_GBK" w:hAnsi="方正小标宋_GBK" w:eastAsia="方正小标宋_GBK" w:cs="方正小标宋_GBK"/>
          <w:color w:val="000000" w:themeColor="text1"/>
          <w:sz w:val="44"/>
          <w:szCs w:val="44"/>
          <w:highlight w:val="none"/>
          <w:lang w:eastAsia="zh-CN"/>
          <w14:textFill>
            <w14:solidFill>
              <w14:schemeClr w14:val="tx1"/>
            </w14:solidFill>
          </w14:textFill>
        </w:rPr>
        <w:t>公示</w:t>
      </w:r>
    </w:p>
    <w:p>
      <w:pPr>
        <w:pStyle w:val="5"/>
        <w:keepNext w:val="0"/>
        <w:keepLines w:val="0"/>
        <w:pageBreakBefore w:val="0"/>
        <w:widowControl w:val="0"/>
        <w:kinsoku/>
        <w:wordWrap/>
        <w:overflowPunct/>
        <w:topLinePunct w:val="0"/>
        <w:autoSpaceDE/>
        <w:autoSpaceDN/>
        <w:bidi w:val="0"/>
        <w:adjustRightInd/>
        <w:snapToGrid/>
        <w:spacing w:after="0" w:line="594" w:lineRule="exact"/>
        <w:ind w:left="0"/>
        <w:textAlignment w:val="auto"/>
        <w:rPr>
          <w:rFonts w:hint="eastAsia"/>
          <w:lang w:val="en-US" w:eastAsia="zh-CN"/>
        </w:rPr>
      </w:pP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r>
        <w:rPr>
          <w:rFonts w:hint="default" w:ascii="Times New Roman" w:hAnsi="Times New Roman" w:eastAsia="方正仿宋_GBK" w:cs="Times New Roman"/>
          <w:sz w:val="32"/>
          <w:szCs w:val="32"/>
          <w:highlight w:val="none"/>
          <w:lang w:eastAsia="zh-CN"/>
        </w:rPr>
        <w:t>重庆市开州区三汇口人民政府</w:t>
      </w:r>
      <w:bookmarkStart w:id="0" w:name="OLE_LINK1"/>
      <w:r>
        <w:rPr>
          <w:rFonts w:hint="default" w:ascii="Times New Roman" w:hAnsi="Times New Roman" w:eastAsia="方正仿宋_GBK" w:cs="Times New Roman"/>
          <w:sz w:val="32"/>
          <w:szCs w:val="32"/>
          <w:highlight w:val="none"/>
          <w:lang w:eastAsia="zh-CN"/>
        </w:rPr>
        <w:t>（本级）</w:t>
      </w:r>
      <w:bookmarkEnd w:id="0"/>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本级</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pStyle w:val="5"/>
        <w:rPr>
          <w:rFonts w:hint="default"/>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596"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pacing w:val="-11"/>
          <w:sz w:val="32"/>
          <w:szCs w:val="32"/>
          <w:highlight w:val="none"/>
        </w:rPr>
        <w:t>表1</w:t>
      </w:r>
      <w:bookmarkStart w:id="1" w:name="OLE_LINK9"/>
      <w:r>
        <w:rPr>
          <w:rFonts w:hint="eastAsia" w:ascii="Times New Roman" w:hAnsi="Times New Roman" w:eastAsia="方正仿宋_GBK" w:cs="Times New Roman"/>
          <w:spacing w:val="-11"/>
          <w:sz w:val="32"/>
          <w:szCs w:val="32"/>
          <w:highlight w:val="none"/>
          <w:lang w:eastAsia="zh-CN"/>
        </w:rPr>
        <w:t>、</w:t>
      </w:r>
      <w:r>
        <w:rPr>
          <w:rFonts w:hint="default" w:ascii="Times New Roman" w:hAnsi="Times New Roman" w:eastAsia="方正仿宋_GBK" w:cs="Times New Roman"/>
          <w:spacing w:val="-11"/>
          <w:sz w:val="32"/>
          <w:szCs w:val="32"/>
          <w:highlight w:val="none"/>
          <w:lang w:eastAsia="zh-CN"/>
        </w:rPr>
        <w:t>重庆市开州区三汇口乡人民政府</w:t>
      </w:r>
      <w:bookmarkEnd w:id="1"/>
      <w:r>
        <w:rPr>
          <w:rFonts w:hint="default" w:ascii="Times New Roman" w:hAnsi="Times New Roman" w:eastAsia="方正仿宋_GBK" w:cs="Times New Roman"/>
          <w:spacing w:val="-11"/>
          <w:sz w:val="32"/>
          <w:szCs w:val="32"/>
          <w:highlight w:val="none"/>
          <w:lang w:eastAsia="zh-CN"/>
        </w:rPr>
        <w:t>（本级）</w:t>
      </w:r>
      <w:r>
        <w:rPr>
          <w:rFonts w:hint="default" w:ascii="Times New Roman" w:hAnsi="Times New Roman" w:eastAsia="方正仿宋_GBK" w:cs="Times New Roman"/>
          <w:spacing w:val="-11"/>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ind w:left="0" w:firstLine="548" w:firstLineChars="200"/>
        <w:textAlignment w:val="auto"/>
        <w:rPr>
          <w:rFonts w:hint="default" w:ascii="Times New Roman" w:hAnsi="Times New Roman" w:eastAsia="方正仿宋_GBK" w:cs="Times New Roman"/>
          <w:spacing w:val="-23"/>
          <w:sz w:val="32"/>
          <w:szCs w:val="32"/>
          <w:highlight w:val="none"/>
        </w:rPr>
      </w:pPr>
      <w:r>
        <w:rPr>
          <w:rFonts w:hint="default" w:ascii="Times New Roman" w:hAnsi="Times New Roman" w:eastAsia="方正仿宋_GBK" w:cs="Times New Roman"/>
          <w:spacing w:val="-23"/>
          <w:sz w:val="32"/>
          <w:szCs w:val="32"/>
          <w:highlight w:val="none"/>
        </w:rPr>
        <w:t>表3、</w:t>
      </w:r>
      <w:r>
        <w:rPr>
          <w:rFonts w:hint="default" w:ascii="Times New Roman" w:hAnsi="Times New Roman" w:eastAsia="方正仿宋_GBK" w:cs="Times New Roman"/>
          <w:spacing w:val="-23"/>
          <w:sz w:val="32"/>
          <w:szCs w:val="32"/>
          <w:highlight w:val="none"/>
          <w:lang w:eastAsia="zh-CN"/>
        </w:rPr>
        <w:t>重庆市开州区三汇口乡人民政府（本级）</w:t>
      </w:r>
      <w:r>
        <w:rPr>
          <w:rFonts w:hint="default" w:ascii="Times New Roman" w:hAnsi="Times New Roman" w:eastAsia="方正仿宋_GBK" w:cs="Times New Roman"/>
          <w:spacing w:val="-23"/>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bookmarkStart w:id="2" w:name="OLE_LINK10"/>
      <w:r>
        <w:rPr>
          <w:rFonts w:hint="default" w:ascii="Times New Roman" w:hAnsi="Times New Roman" w:eastAsia="方正仿宋_GBK" w:cs="Times New Roman"/>
          <w:sz w:val="32"/>
          <w:szCs w:val="32"/>
          <w:highlight w:val="none"/>
          <w:lang w:eastAsia="zh-CN"/>
        </w:rPr>
        <w:t>重庆市开州区三汇口乡人民政府</w:t>
      </w:r>
      <w:bookmarkEnd w:id="2"/>
      <w:r>
        <w:rPr>
          <w:rFonts w:hint="default" w:ascii="Times New Roman" w:hAnsi="Times New Roman" w:eastAsia="方正仿宋_GBK" w:cs="Times New Roman"/>
          <w:sz w:val="32"/>
          <w:szCs w:val="32"/>
          <w:highlight w:val="none"/>
          <w:lang w:eastAsia="zh-CN"/>
        </w:rPr>
        <w:t>（本级）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596"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pacing w:val="-11"/>
          <w:sz w:val="32"/>
          <w:szCs w:val="32"/>
          <w:highlight w:val="none"/>
        </w:rPr>
        <w:t>表10、</w:t>
      </w:r>
      <w:r>
        <w:rPr>
          <w:rFonts w:hint="default" w:ascii="Times New Roman" w:hAnsi="Times New Roman" w:eastAsia="方正仿宋_GBK" w:cs="Times New Roman"/>
          <w:spacing w:val="-11"/>
          <w:sz w:val="32"/>
          <w:szCs w:val="32"/>
          <w:highlight w:val="none"/>
          <w:lang w:eastAsia="zh-CN"/>
        </w:rPr>
        <w:t>重庆市开州区三汇口乡人民政府（本级）</w:t>
      </w:r>
      <w:r>
        <w:rPr>
          <w:rFonts w:hint="default" w:ascii="Times New Roman" w:hAnsi="Times New Roman" w:eastAsia="方正仿宋_GBK" w:cs="Times New Roman"/>
          <w:spacing w:val="-11"/>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eastAsia="方正仿宋_GBK" w:cs="Times New Roman"/>
          <w:sz w:val="32"/>
          <w:szCs w:val="32"/>
          <w:highlight w:val="none"/>
          <w:lang w:val="en-US" w:eastAsia="zh-CN"/>
        </w:rPr>
        <w:t>2026年</w:t>
      </w:r>
      <w:r>
        <w:rPr>
          <w:rFonts w:hint="default" w:ascii="Times New Roman" w:hAnsi="Times New Roman" w:eastAsia="方正仿宋_GBK" w:cs="Times New Roman"/>
          <w:sz w:val="32"/>
          <w:szCs w:val="32"/>
          <w:highlight w:val="none"/>
          <w:lang w:eastAsia="zh-CN"/>
        </w:rPr>
        <w:t>重庆市开州区三汇口乡人民政府（本级）</w:t>
      </w:r>
      <w:r>
        <w:rPr>
          <w:rFonts w:hint="default" w:ascii="Times New Roman" w:hAnsi="Times New Roman" w:eastAsia="方正仿宋_GBK" w:cs="Times New Roman"/>
          <w:sz w:val="32"/>
          <w:szCs w:val="32"/>
          <w:highlight w:val="none"/>
        </w:rPr>
        <w:t>项目绩效目标表</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jc w:val="left"/>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szCs w:val="32"/>
          <w:lang w:eastAsia="zh-CN"/>
        </w:rPr>
        <w:t>三汇口乡人民政府</w:t>
      </w:r>
      <w:r>
        <w:rPr>
          <w:rFonts w:hint="default" w:ascii="Times New Roman" w:hAnsi="Times New Roman" w:eastAsia="方正仿宋_GBK" w:cs="Times New Roman"/>
          <w:sz w:val="32"/>
          <w:szCs w:val="32"/>
        </w:rPr>
        <w:t>基本职能</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rPr>
        <w:t>促进经济发展、增加农民收入，强化公共服务、着力改善民生，加强社会管理、维护农村稳定，推进基层民主、促进农村和谐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基层治理综合指挥室</w:t>
      </w:r>
      <w:r>
        <w:rPr>
          <w:rFonts w:hint="default" w:ascii="Times New Roman" w:hAnsi="Times New Roman" w:eastAsia="方正仿宋_GBK" w:cs="Times New Roman"/>
          <w:sz w:val="32"/>
          <w:szCs w:val="32"/>
        </w:rPr>
        <w:t>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r>
        <w:rPr>
          <w:rFonts w:hint="default" w:ascii="Times New Roman" w:hAnsi="Times New Roman" w:eastAsia="方正仿宋_GBK" w:cs="Times New Roman"/>
          <w:b/>
          <w:bCs/>
          <w:sz w:val="32"/>
          <w:szCs w:val="32"/>
        </w:rPr>
        <w:t>党的建设办公室主</w:t>
      </w:r>
      <w:r>
        <w:rPr>
          <w:rFonts w:hint="default" w:ascii="Times New Roman" w:hAnsi="Times New Roman" w:eastAsia="方正仿宋_GBK" w:cs="Times New Roman"/>
          <w:sz w:val="32"/>
          <w:szCs w:val="32"/>
        </w:rPr>
        <w:t>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r>
        <w:rPr>
          <w:rFonts w:hint="default" w:ascii="Times New Roman" w:hAnsi="Times New Roman" w:eastAsia="方正仿宋_GBK" w:cs="Times New Roman"/>
          <w:b/>
          <w:bCs/>
          <w:sz w:val="32"/>
          <w:szCs w:val="32"/>
        </w:rPr>
        <w:t>经济发展办公室</w:t>
      </w:r>
      <w:r>
        <w:rPr>
          <w:rFonts w:hint="default" w:ascii="Times New Roman" w:hAnsi="Times New Roman" w:eastAsia="方正仿宋_GBK" w:cs="Times New Roman"/>
          <w:sz w:val="32"/>
          <w:szCs w:val="32"/>
        </w:rPr>
        <w:t>主要负责发展改革、农业农村和乡村振兴、水利、科技、经济和信息化、商务、旅游、经济社会统计、林业、招商引资、供销合作等工作；负责农村经营管理、产业结构调整、农产品质量安全监督管理等工作；</w:t>
      </w:r>
      <w:r>
        <w:rPr>
          <w:rFonts w:hint="eastAsia"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r>
        <w:rPr>
          <w:rFonts w:hint="default" w:ascii="Times New Roman" w:hAnsi="Times New Roman" w:eastAsia="方正仿宋_GBK" w:cs="Times New Roman"/>
          <w:b/>
          <w:bCs/>
          <w:sz w:val="32"/>
          <w:szCs w:val="32"/>
        </w:rPr>
        <w:t>社会事务办公室</w:t>
      </w:r>
      <w:r>
        <w:rPr>
          <w:rFonts w:hint="default" w:ascii="Times New Roman" w:hAnsi="Times New Roman" w:eastAsia="方正仿宋_GBK" w:cs="Times New Roman"/>
          <w:sz w:val="32"/>
          <w:szCs w:val="32"/>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r>
        <w:rPr>
          <w:rFonts w:hint="default" w:ascii="Times New Roman" w:hAnsi="Times New Roman" w:eastAsia="方正仿宋_GBK" w:cs="Times New Roman"/>
          <w:b/>
          <w:bCs/>
          <w:sz w:val="32"/>
          <w:szCs w:val="32"/>
        </w:rPr>
        <w:t>平安建设办公室</w:t>
      </w:r>
      <w:r>
        <w:rPr>
          <w:rFonts w:hint="default" w:ascii="Times New Roman" w:hAnsi="Times New Roman" w:eastAsia="方正仿宋_GBK" w:cs="Times New Roman"/>
          <w:sz w:val="32"/>
          <w:szCs w:val="32"/>
        </w:rPr>
        <w:t>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w:t>
      </w:r>
      <w:r>
        <w:rPr>
          <w:rFonts w:hint="eastAsia" w:ascii="Times New Roman" w:hAnsi="Times New Roman" w:eastAsia="方正仿宋_GBK" w:cs="Times New Roman"/>
          <w:sz w:val="32"/>
          <w:szCs w:val="32"/>
          <w:lang w:eastAsia="zh-CN"/>
        </w:rPr>
        <w:t>减灾救灾</w:t>
      </w:r>
      <w:r>
        <w:rPr>
          <w:rFonts w:hint="default" w:ascii="Times New Roman" w:hAnsi="Times New Roman" w:eastAsia="方正仿宋_GBK" w:cs="Times New Roman"/>
          <w:sz w:val="32"/>
          <w:szCs w:val="32"/>
        </w:rPr>
        <w:t>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11"/>
        <w:keepNext w:val="0"/>
        <w:keepLines w:val="0"/>
        <w:pageBreakBefore w:val="0"/>
        <w:widowControl w:val="0"/>
        <w:numPr>
          <w:ilvl w:val="0"/>
          <w:numId w:val="1"/>
        </w:numPr>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单位构成</w:t>
      </w:r>
    </w:p>
    <w:p>
      <w:pPr>
        <w:pStyle w:val="11"/>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bCs/>
          <w:kern w:val="2"/>
          <w:sz w:val="32"/>
          <w:szCs w:val="32"/>
          <w:lang w:val="en-US" w:eastAsia="zh-CN" w:bidi="ar-SA"/>
        </w:rPr>
        <w:t>重庆市开州区三汇口乡人民政府（本级）内设5个机构，分别是基层治理综合指挥室，党的建设办公室，经济发展办公室，民生服务办公室，平安法治办公室。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1211.2</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150.51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1060.71万元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150.51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，收入较去年减少</w:t>
      </w:r>
      <w:r>
        <w:rPr>
          <w:rFonts w:hint="eastAsia" w:ascii="Times New Roman" w:hAnsi="Times New Roman" w:eastAsia="方正仿宋_GBK" w:cs="Times New Roman"/>
          <w:sz w:val="32"/>
          <w:highlight w:val="none"/>
          <w:lang w:val="en-US" w:eastAsia="zh-CN"/>
        </w:rPr>
        <w:t>375.05万元。</w:t>
      </w:r>
      <w:r>
        <w:rPr>
          <w:rFonts w:hint="default" w:ascii="Times New Roman" w:hAnsi="Times New Roman" w:eastAsia="方正仿宋_GBK" w:cs="Times New Roman"/>
          <w:sz w:val="32"/>
          <w:highlight w:val="none"/>
        </w:rPr>
        <w:t>主要是</w:t>
      </w:r>
      <w:r>
        <w:rPr>
          <w:rFonts w:hint="default"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1211.22</w:t>
      </w:r>
      <w:r>
        <w:rPr>
          <w:rFonts w:hint="default" w:ascii="Times New Roman" w:hAnsi="Times New Roman" w:eastAsia="方正仿宋_GBK" w:cs="Times New Roman"/>
          <w:sz w:val="32"/>
          <w:highlight w:val="none"/>
        </w:rPr>
        <w:t>万元，其中：一般公共服务支出预算414.67万元，</w:t>
      </w:r>
      <w:r>
        <w:rPr>
          <w:rFonts w:hint="default" w:ascii="Times New Roman" w:hAnsi="Times New Roman" w:eastAsia="方正仿宋_GBK" w:cs="Times New Roman"/>
          <w:sz w:val="32"/>
          <w:highlight w:val="none"/>
          <w:lang w:eastAsia="zh-CN"/>
        </w:rPr>
        <w:t>节能环保支出</w:t>
      </w:r>
      <w:r>
        <w:rPr>
          <w:rFonts w:hint="eastAsia" w:ascii="Times New Roman" w:hAnsi="Times New Roman" w:eastAsia="方正仿宋_GBK" w:cs="Times New Roman"/>
          <w:sz w:val="32"/>
          <w:highlight w:val="none"/>
          <w:lang w:eastAsia="zh-CN"/>
        </w:rPr>
        <w:t>预算</w:t>
      </w:r>
      <w:r>
        <w:rPr>
          <w:rFonts w:hint="default" w:ascii="Times New Roman" w:hAnsi="Times New Roman" w:eastAsia="方正仿宋_GBK" w:cs="Times New Roman"/>
          <w:sz w:val="32"/>
          <w:highlight w:val="none"/>
          <w:lang w:eastAsia="zh-CN"/>
        </w:rPr>
        <w:t>81.55万元，农林水支出</w:t>
      </w:r>
      <w:r>
        <w:rPr>
          <w:rFonts w:hint="eastAsia" w:ascii="Times New Roman" w:hAnsi="Times New Roman" w:eastAsia="方正仿宋_GBK" w:cs="Times New Roman"/>
          <w:sz w:val="32"/>
          <w:highlight w:val="none"/>
          <w:lang w:eastAsia="zh-CN"/>
        </w:rPr>
        <w:t>预算</w:t>
      </w:r>
      <w:r>
        <w:rPr>
          <w:rFonts w:hint="default" w:ascii="Times New Roman" w:hAnsi="Times New Roman" w:eastAsia="方正仿宋_GBK" w:cs="Times New Roman"/>
          <w:sz w:val="32"/>
          <w:highlight w:val="none"/>
          <w:lang w:eastAsia="zh-CN"/>
        </w:rPr>
        <w:t>487.15万元，</w:t>
      </w:r>
      <w:r>
        <w:rPr>
          <w:rFonts w:hint="default" w:ascii="Times New Roman" w:hAnsi="Times New Roman" w:eastAsia="方正仿宋_GBK" w:cs="Times New Roman"/>
          <w:sz w:val="32"/>
          <w:highlight w:val="none"/>
        </w:rPr>
        <w:t>社会保障和就业支出预算79.83万元，卫生健康支出预算34.02万元，住房保障支出预算36.8万元</w:t>
      </w:r>
      <w:r>
        <w:rPr>
          <w:rFonts w:hint="default" w:ascii="Times New Roman" w:hAnsi="Times New Roman" w:eastAsia="方正仿宋_GBK" w:cs="Times New Roman"/>
          <w:sz w:val="32"/>
          <w:highlight w:val="none"/>
          <w:lang w:eastAsia="zh-CN"/>
        </w:rPr>
        <w:t>，城乡社区支出77.2万元</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年一般公共预算财政拨款收入1211.22万元，一般公共预算财政拨款支出1211.22万元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其中：基本支出970.28万元，主要用于保障</w:t>
      </w:r>
      <w:r>
        <w:rPr>
          <w:rFonts w:hint="default" w:ascii="Times New Roman" w:hAnsi="Times New Roman" w:eastAsia="方正仿宋_GBK" w:cs="Times New Roman"/>
          <w:sz w:val="32"/>
          <w:highlight w:val="none"/>
          <w:lang w:eastAsia="zh-CN"/>
        </w:rPr>
        <w:t>重庆市开州区三汇口乡人民政府</w:t>
      </w:r>
      <w:r>
        <w:rPr>
          <w:rFonts w:hint="default" w:ascii="Times New Roman" w:hAnsi="Times New Roman" w:eastAsia="方正仿宋_GBK" w:cs="Times New Roman"/>
          <w:sz w:val="32"/>
          <w:highlight w:val="none"/>
        </w:rPr>
        <w:t>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240.94</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eastAsia="zh-CN"/>
        </w:rPr>
        <w:t>项目增加</w:t>
      </w:r>
      <w:r>
        <w:rPr>
          <w:rFonts w:hint="default" w:ascii="Times New Roman" w:hAnsi="Times New Roman" w:eastAsia="方正仿宋_GBK" w:cs="Times New Roman"/>
          <w:sz w:val="32"/>
          <w:highlight w:val="none"/>
        </w:rPr>
        <w:t>等，主要用于森林修复补助</w:t>
      </w:r>
      <w:r>
        <w:rPr>
          <w:rFonts w:hint="default" w:ascii="Times New Roman" w:hAnsi="Times New Roman" w:eastAsia="方正仿宋_GBK" w:cs="Times New Roman"/>
          <w:sz w:val="32"/>
          <w:highlight w:val="none"/>
          <w:lang w:eastAsia="zh-CN"/>
        </w:rPr>
        <w:t>、环三汇水库产业便道及桥梁项目</w:t>
      </w:r>
      <w:r>
        <w:rPr>
          <w:rFonts w:hint="default" w:ascii="Times New Roman" w:hAnsi="Times New Roman" w:eastAsia="方正仿宋_GBK" w:cs="Times New Roman"/>
          <w:sz w:val="32"/>
          <w:highlight w:val="none"/>
        </w:rPr>
        <w:t>等重点工作。</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重庆市开州区三汇口乡人民政府</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本级</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13.51</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5.8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1.8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公务用车购置费</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年一般公共预算财政拨款运行经费468.75万元，比上年</w:t>
      </w:r>
      <w:r>
        <w:rPr>
          <w:rFonts w:hint="default" w:ascii="Times New Roman" w:hAnsi="Times New Roman" w:eastAsia="方正仿宋_GBK" w:cs="Times New Roman"/>
          <w:sz w:val="32"/>
          <w:highlight w:val="none"/>
          <w:lang w:eastAsia="zh-CN"/>
        </w:rPr>
        <w:t>减少</w:t>
      </w:r>
      <w:r>
        <w:rPr>
          <w:rFonts w:hint="default" w:ascii="Times New Roman" w:hAnsi="Times New Roman" w:eastAsia="方正仿宋_GBK" w:cs="Times New Roman"/>
          <w:sz w:val="32"/>
          <w:highlight w:val="none"/>
          <w:lang w:val="en-US" w:eastAsia="zh-CN"/>
        </w:rPr>
        <w:t>31.07</w:t>
      </w:r>
      <w:r>
        <w:rPr>
          <w:rFonts w:hint="default" w:ascii="Times New Roman" w:hAnsi="Times New Roman" w:eastAsia="方正仿宋_GBK" w:cs="Times New Roman"/>
          <w:sz w:val="32"/>
          <w:highlight w:val="none"/>
        </w:rPr>
        <w:t>万元，主要原因为</w:t>
      </w:r>
      <w:r>
        <w:rPr>
          <w:rFonts w:hint="default" w:ascii="Times New Roman" w:hAnsi="Times New Roman" w:eastAsia="方正仿宋_GBK" w:cs="Times New Roman"/>
          <w:sz w:val="32"/>
          <w:lang w:val="en-US" w:eastAsia="zh-CN"/>
        </w:rPr>
        <w:t>坚持厉行节约，牢固树立过“紧日子”思想</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eastAsia="zh-CN"/>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6.54</w:t>
      </w:r>
      <w:r>
        <w:rPr>
          <w:rFonts w:hint="default" w:ascii="Times New Roman" w:hAnsi="Times New Roman" w:eastAsia="方正仿宋_GBK" w:cs="Times New Roman"/>
          <w:sz w:val="32"/>
          <w:highlight w:val="none"/>
        </w:rPr>
        <w:t>万元：政府采购货物预算6.54万元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其中一般公共预算拨款政府采购</w:t>
      </w:r>
      <w:r>
        <w:rPr>
          <w:rFonts w:hint="default" w:ascii="Times New Roman" w:hAnsi="Times New Roman" w:eastAsia="方正仿宋_GBK" w:cs="Times New Roman"/>
          <w:sz w:val="32"/>
          <w:highlight w:val="none"/>
          <w:lang w:val="en-US" w:eastAsia="zh-CN"/>
        </w:rPr>
        <w:t>6.54</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6.54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90.43</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default"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sz w:val="32"/>
          <w:highlight w:val="none"/>
        </w:rPr>
      </w:pPr>
      <w:r>
        <w:rPr>
          <w:rFonts w:hint="default" w:ascii="Times New Roman" w:hAnsi="Times New Roman" w:eastAsia="方正仿宋_GBK" w:cs="Times New Roman"/>
          <w:b w:val="0"/>
          <w:bCs w:val="0"/>
          <w:sz w:val="32"/>
          <w:highlight w:val="none"/>
          <w:lang w:val="en-US" w:eastAsia="zh-CN"/>
        </w:rPr>
        <w:t>2026</w:t>
      </w:r>
      <w:r>
        <w:rPr>
          <w:rFonts w:hint="default" w:ascii="Times New Roman" w:hAnsi="Times New Roman" w:eastAsia="方正仿宋_GBK" w:cs="Times New Roman"/>
          <w:b w:val="0"/>
          <w:bCs w:val="0"/>
          <w:sz w:val="32"/>
          <w:highlight w:val="none"/>
        </w:rPr>
        <w:t>年</w:t>
      </w:r>
      <w:r>
        <w:rPr>
          <w:rFonts w:hint="eastAsia" w:ascii="Times New Roman" w:hAnsi="Times New Roman" w:eastAsia="方正仿宋_GBK" w:cs="Times New Roman"/>
          <w:b w:val="0"/>
          <w:bCs w:val="0"/>
          <w:sz w:val="32"/>
          <w:highlight w:val="none"/>
          <w:lang w:eastAsia="zh-CN"/>
        </w:rPr>
        <w:t>部门</w:t>
      </w:r>
      <w:r>
        <w:rPr>
          <w:rFonts w:hint="default" w:ascii="Times New Roman" w:hAnsi="Times New Roman" w:eastAsia="方正仿宋_GBK" w:cs="Times New Roman"/>
          <w:b w:val="0"/>
          <w:bCs w:val="0"/>
          <w:sz w:val="32"/>
          <w:highlight w:val="none"/>
        </w:rPr>
        <w:t>预算公开报表（详见附表</w:t>
      </w:r>
      <w:r>
        <w:rPr>
          <w:rFonts w:hint="default" w:ascii="Times New Roman" w:hAnsi="Times New Roman" w:eastAsia="方正仿宋_GBK" w:cs="Times New Roman"/>
          <w:b w:val="0"/>
          <w:bCs w:val="0"/>
          <w:sz w:val="32"/>
          <w:highlight w:val="none"/>
          <w:lang w:eastAsia="zh-CN"/>
        </w:rPr>
        <w:t>重庆市开州区三汇口乡人民政府</w:t>
      </w:r>
      <w:r>
        <w:rPr>
          <w:rFonts w:hint="eastAsia" w:ascii="Times New Roman" w:hAnsi="Times New Roman" w:eastAsia="方正仿宋_GBK" w:cs="Times New Roman"/>
          <w:b w:val="0"/>
          <w:bCs w:val="0"/>
          <w:sz w:val="32"/>
          <w:highlight w:val="none"/>
          <w:lang w:eastAsia="zh-CN"/>
        </w:rPr>
        <w:t>本级</w:t>
      </w:r>
      <w:r>
        <w:rPr>
          <w:rFonts w:hint="default" w:ascii="Times New Roman" w:hAnsi="Times New Roman" w:eastAsia="方正仿宋_GBK" w:cs="Times New Roman"/>
          <w:b w:val="0"/>
          <w:bCs w:val="0"/>
          <w:sz w:val="32"/>
          <w:highlight w:val="none"/>
        </w:rPr>
        <w:t>202</w:t>
      </w:r>
      <w:r>
        <w:rPr>
          <w:rFonts w:hint="default" w:ascii="Times New Roman" w:hAnsi="Times New Roman" w:eastAsia="方正仿宋_GBK" w:cs="Times New Roman"/>
          <w:b w:val="0"/>
          <w:bCs w:val="0"/>
          <w:sz w:val="32"/>
          <w:highlight w:val="none"/>
          <w:lang w:val="en-US" w:eastAsia="zh-CN"/>
        </w:rPr>
        <w:t>6</w:t>
      </w:r>
      <w:r>
        <w:rPr>
          <w:rFonts w:hint="default" w:ascii="Times New Roman" w:hAnsi="Times New Roman" w:eastAsia="方正仿宋_GBK" w:cs="Times New Roman"/>
          <w:b w:val="0"/>
          <w:bCs w:val="0"/>
          <w:sz w:val="32"/>
          <w:highlight w:val="none"/>
        </w:rPr>
        <w:t>年</w:t>
      </w:r>
      <w:r>
        <w:rPr>
          <w:rFonts w:hint="default" w:ascii="Times New Roman" w:hAnsi="Times New Roman" w:eastAsia="方正仿宋_GBK" w:cs="Times New Roman"/>
          <w:b w:val="0"/>
          <w:bCs w:val="0"/>
          <w:sz w:val="32"/>
          <w:highlight w:val="none"/>
          <w:lang w:eastAsia="zh-CN"/>
        </w:rPr>
        <w:t>本级</w:t>
      </w:r>
      <w:r>
        <w:rPr>
          <w:rFonts w:hint="default" w:ascii="Times New Roman" w:hAnsi="Times New Roman" w:eastAsia="方正仿宋_GBK" w:cs="Times New Roman"/>
          <w:b w:val="0"/>
          <w:bCs w:val="0"/>
          <w:sz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highlight w:val="none"/>
          <w:lang w:eastAsia="zh-CN"/>
        </w:rPr>
        <w:t>部门</w:t>
      </w:r>
      <w:r>
        <w:rPr>
          <w:rFonts w:hint="default" w:ascii="Times New Roman" w:hAnsi="Times New Roman" w:eastAsia="方正仿宋_GBK" w:cs="Times New Roman"/>
          <w:b w:val="0"/>
          <w:bCs w:val="0"/>
          <w:sz w:val="32"/>
          <w:highlight w:val="none"/>
        </w:rPr>
        <w:t>预算公开联系人：</w:t>
      </w:r>
      <w:r>
        <w:rPr>
          <w:rFonts w:hint="default" w:ascii="Times New Roman" w:hAnsi="Times New Roman" w:eastAsia="方正仿宋_GBK" w:cs="Times New Roman"/>
          <w:b w:val="0"/>
          <w:bCs w:val="0"/>
          <w:sz w:val="32"/>
          <w:highlight w:val="none"/>
          <w:lang w:eastAsia="zh-CN"/>
        </w:rPr>
        <w:t>韩瑞</w:t>
      </w:r>
      <w:r>
        <w:rPr>
          <w:rFonts w:hint="default" w:ascii="Times New Roman" w:hAnsi="Times New Roman" w:eastAsia="方正仿宋_GBK" w:cs="Times New Roman"/>
          <w:b w:val="0"/>
          <w:bCs w:val="0"/>
          <w:sz w:val="32"/>
          <w:highlight w:val="none"/>
        </w:rPr>
        <w:t xml:space="preserve">  联系方式：023-</w:t>
      </w:r>
      <w:r>
        <w:rPr>
          <w:rFonts w:hint="default" w:ascii="Times New Roman" w:hAnsi="Times New Roman" w:eastAsia="方正仿宋_GBK" w:cs="Times New Roman"/>
          <w:b w:val="0"/>
          <w:bCs w:val="0"/>
          <w:sz w:val="32"/>
          <w:highlight w:val="none"/>
          <w:lang w:val="en-US" w:eastAsia="zh-CN"/>
        </w:rPr>
        <w:t>52707988</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lang w:eastAsia="zh-CN"/>
        </w:rPr>
        <w:t>重庆市开州区三汇口乡人民政府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auto"/>
          <w:sz w:val="32"/>
          <w:szCs w:val="32"/>
          <w:highlight w:val="none"/>
        </w:rPr>
        <w:t xml:space="preserve"> 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eastAsia"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rPr>
          <w:rFonts w:hint="default"/>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3" w:name="_GoBack"/>
      <w:bookmarkEnd w:id="3"/>
      <w:r>
        <w:rPr>
          <w:rFonts w:hint="default" w:ascii="Times New Roman" w:hAnsi="Times New Roman" w:eastAsia="方正仿宋_GBK" w:cs="Times New Roman"/>
          <w:spacing w:val="0"/>
          <w:sz w:val="28"/>
          <w:szCs w:val="28"/>
          <w:shd w:val="clear" w:color="auto" w:fill="auto"/>
          <w:vertAlign w:val="baseline"/>
          <w:lang w:val="en-US" w:eastAsia="zh-CN"/>
        </w:rPr>
        <w:t>日印发</w:t>
      </w:r>
    </w:p>
    <w:sectPr>
      <w:headerReference r:id="rId3" w:type="default"/>
      <w:footerReference r:id="rId4" w:type="default"/>
      <w:pgSz w:w="11906" w:h="16838"/>
      <w:pgMar w:top="1814" w:right="1531" w:bottom="1814" w:left="1531" w:header="851" w:footer="1474" w:gutter="0"/>
      <w:pgNumType w:fmt="numberInDash" w:start="1"/>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6ED8E"/>
    <w:multiLevelType w:val="singleLevel"/>
    <w:tmpl w:val="8136ED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04D23AA"/>
    <w:rsid w:val="01FB27A1"/>
    <w:rsid w:val="033A42EE"/>
    <w:rsid w:val="0C0334F8"/>
    <w:rsid w:val="16224B30"/>
    <w:rsid w:val="1ABD4CE0"/>
    <w:rsid w:val="1CF87A95"/>
    <w:rsid w:val="1F16618C"/>
    <w:rsid w:val="262B152D"/>
    <w:rsid w:val="2BBF48AB"/>
    <w:rsid w:val="33CB4108"/>
    <w:rsid w:val="344B4E9D"/>
    <w:rsid w:val="3B536066"/>
    <w:rsid w:val="3C7528CA"/>
    <w:rsid w:val="42410A56"/>
    <w:rsid w:val="5FB648F6"/>
    <w:rsid w:val="618E4CD5"/>
    <w:rsid w:val="64821741"/>
    <w:rsid w:val="6DCE550C"/>
    <w:rsid w:val="6F060E0B"/>
    <w:rsid w:val="74294875"/>
    <w:rsid w:val="774F5B9E"/>
    <w:rsid w:val="7B766882"/>
    <w:rsid w:val="95EF7F40"/>
    <w:rsid w:val="FA7F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3">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2">
    <w:name w:val="heading 4"/>
    <w:basedOn w:val="3"/>
    <w:next w:val="1"/>
    <w:qFormat/>
    <w:uiPriority w:val="0"/>
    <w:pPr>
      <w:outlineLvl w:val="3"/>
    </w:pPr>
    <w:rPr>
      <w:rFonts w:ascii="Times New Roman" w:hAnsi="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rPr>
      <w:rFonts w:ascii="Times New Roman" w:hAnsi="Times New Roman" w:eastAsia="宋体" w:cs="Times New Roman"/>
      <w:szCs w:val="24"/>
    </w:rPr>
  </w:style>
  <w:style w:type="paragraph" w:styleId="6">
    <w:name w:val="footer"/>
    <w:basedOn w:val="1"/>
    <w:next w:val="7"/>
    <w:qFormat/>
    <w:uiPriority w:val="0"/>
    <w:pPr>
      <w:tabs>
        <w:tab w:val="center" w:pos="4153"/>
        <w:tab w:val="right" w:pos="8306"/>
      </w:tabs>
      <w:snapToGrid w:val="0"/>
      <w:jc w:val="left"/>
    </w:pPr>
    <w:rPr>
      <w:rFonts w:ascii="Calibri" w:hAnsi="Calibri"/>
      <w:snapToGrid/>
      <w:kern w:val="2"/>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3413</Words>
  <Characters>3608</Characters>
  <Lines>1</Lines>
  <Paragraphs>1</Paragraphs>
  <TotalTime>6</TotalTime>
  <ScaleCrop>false</ScaleCrop>
  <LinksUpToDate>false</LinksUpToDate>
  <CharactersWithSpaces>3734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2026-02-09T16:26:00Z</dcterms:created>
  <dc:creator>梁婷婷</dc:creator>
  <cp:lastModifiedBy>彭剑</cp:lastModifiedBy>
  <cp:lastPrinted>2026-02-12T11:46:00Z</cp:lastPrinted>
  <dcterms:modified xsi:type="dcterms:W3CDTF">2026-03-12T07:14:55Z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40C91B8739864BC4BC97F4F693CF03D6_13</vt:lpwstr>
  </property>
  <property fmtid="{D5CDD505-2E9C-101B-9397-08002B2CF9AE}" pid="4" name="KSOTemplateDocerSaveRecord">
    <vt:lpwstr>eyJoZGlkIjoiOTY1MDllNTIxYjIxNGIzM2I4OWM1ODE1OTJlNWZhNWMiLCJ1c2VySWQiOiIxNDg0NTY3ODk1In0=</vt:lpwstr>
  </property>
</Properties>
</file>