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horzAnchor="margin" w:tblpXSpec="center" w:tblpYSpec="top"/>
        <w:tblW w:w="8833" w:type="dxa"/>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cs="Times New Roman"/>
                <w:szCs w:val="32"/>
              </w:rPr>
            </w:pPr>
          </w:p>
        </w:tc>
      </w:tr>
      <w:tr>
        <w:tblPrEx>
          <w:tblCellMar>
            <w:top w:w="0" w:type="dxa"/>
            <w:left w:w="108" w:type="dxa"/>
            <w:bottom w:w="0" w:type="dxa"/>
            <w:right w:w="108" w:type="dxa"/>
          </w:tblCellMar>
        </w:tblPrEx>
        <w:trPr>
          <w:trHeight w:val="600" w:hRule="atLeast"/>
          <w:jc w:val="center"/>
        </w:trPr>
        <w:tc>
          <w:tcPr>
            <w:tcW w:w="8833" w:type="dxa"/>
            <w:noWrap w:val="0"/>
            <w:vAlign w:val="top"/>
          </w:tcPr>
          <w:p>
            <w:pPr>
              <w:spacing w:line="600" w:lineRule="exact"/>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771" w:hRule="atLeast"/>
          <w:jc w:val="center"/>
        </w:trPr>
        <w:tc>
          <w:tcPr>
            <w:tcW w:w="8833" w:type="dxa"/>
            <w:noWrap w:val="0"/>
            <w:vAlign w:val="center"/>
          </w:tcPr>
          <w:p>
            <w:pPr>
              <w:jc w:val="center"/>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495" w:hRule="exact"/>
          <w:jc w:val="center"/>
        </w:trPr>
        <w:tc>
          <w:tcPr>
            <w:tcW w:w="8833" w:type="dxa"/>
            <w:noWrap w:val="0"/>
            <w:vAlign w:val="center"/>
          </w:tcPr>
          <w:p>
            <w:pPr>
              <w:jc w:val="center"/>
              <w:rPr>
                <w:rFonts w:hint="default" w:ascii="Times New Roman" w:hAnsi="Times New Roman" w:eastAsia="方正小标宋_GBK" w:cs="Times New Roman"/>
                <w:b/>
                <w:color w:val="FF3300"/>
                <w:spacing w:val="-4"/>
                <w:w w:val="39"/>
                <w:sz w:val="128"/>
                <w:szCs w:val="110"/>
              </w:rPr>
            </w:pPr>
            <w:r>
              <w:rPr>
                <w:rFonts w:hint="default" w:ascii="Times New Roman" w:hAnsi="Times New Roman" w:eastAsia="方正小标宋_GBK" w:cs="Times New Roman"/>
                <w:b/>
                <w:color w:val="FF0000"/>
                <w:spacing w:val="-6"/>
                <w:w w:val="35"/>
                <w:sz w:val="130"/>
                <w:szCs w:val="130"/>
              </w:rPr>
              <w:t>重庆市开州区人民政府正安街道办事处文件</w:t>
            </w:r>
          </w:p>
        </w:tc>
      </w:tr>
      <w:tr>
        <w:tblPrEx>
          <w:tblCellMar>
            <w:top w:w="0" w:type="dxa"/>
            <w:left w:w="108" w:type="dxa"/>
            <w:bottom w:w="0" w:type="dxa"/>
            <w:right w:w="108" w:type="dxa"/>
          </w:tblCellMar>
        </w:tblPrEx>
        <w:trPr>
          <w:trHeight w:val="1361" w:hRule="exact"/>
          <w:jc w:val="center"/>
        </w:trPr>
        <w:tc>
          <w:tcPr>
            <w:tcW w:w="8833" w:type="dxa"/>
            <w:noWrap w:val="0"/>
            <w:vAlign w:val="bottom"/>
          </w:tcPr>
          <w:p>
            <w:pPr>
              <w:spacing w:line="540" w:lineRule="exact"/>
              <w:ind w:firstLine="320" w:firstLineChars="100"/>
              <w:rPr>
                <w:rFonts w:hint="default" w:ascii="Times New Roman" w:hAnsi="Times New Roman" w:cs="Times New Roman"/>
                <w:sz w:val="34"/>
                <w:szCs w:val="34"/>
              </w:rPr>
            </w:pPr>
            <w:r>
              <w:rPr>
                <w:rFonts w:hint="default" w:ascii="Times New Roman" w:hAnsi="Times New Roman" w:eastAsia="仿宋_GB2312" w:cs="Times New Roman"/>
                <w:sz w:val="32"/>
                <w:szCs w:val="32"/>
              </w:rPr>
              <w:t xml:space="preserve">             开州安街发〔202</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rPr>
              <w:t>号</w:t>
            </w:r>
          </w:p>
          <w:p>
            <w:pPr>
              <w:spacing w:line="540" w:lineRule="exact"/>
              <w:rPr>
                <w:rFonts w:hint="default" w:ascii="Times New Roman" w:hAnsi="Times New Roman" w:cs="Times New Roman"/>
                <w:color w:val="FF3300"/>
                <w:sz w:val="52"/>
                <w:szCs w:val="52"/>
              </w:rPr>
            </w:pPr>
            <w:r>
              <w:rPr>
                <w:rFonts w:hint="default" w:ascii="Times New Roman" w:hAnsi="Times New Roman" w:cs="Times New Roman"/>
                <w:color w:val="FF3300"/>
                <w:sz w:val="52"/>
                <w:szCs w:val="52"/>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138430</wp:posOffset>
                      </wp:positionV>
                      <wp:extent cx="5600065" cy="34925"/>
                      <wp:effectExtent l="0" t="13970" r="8255" b="27305"/>
                      <wp:wrapNone/>
                      <wp:docPr id="1" name="直接连接符 1"/>
                      <wp:cNvGraphicFramePr/>
                      <a:graphic xmlns:a="http://schemas.openxmlformats.org/drawingml/2006/main">
                        <a:graphicData uri="http://schemas.microsoft.com/office/word/2010/wordprocessingShape">
                          <wps:wsp>
                            <wps:cNvCnPr/>
                            <wps:spPr>
                              <a:xfrm flipV="1">
                                <a:off x="0" y="0"/>
                                <a:ext cx="5600065" cy="3492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5pt;margin-top:10.9pt;height:2.75pt;width:440.95pt;z-index:251659264;mso-width-relative:page;mso-height-relative:page;" filled="f" stroked="t" coordsize="21600,21600" o:gfxdata="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LR99oAAAAJAQAADwAAAAAAAAABACAAAAAiAAAAZHJz&#10;L2Rvd25yZXYueG1sUEsBAhQAFAAAAAgAh07iQDDjft0CAgAA8wMAAA4AAAAAAAAAAQAgAAAAKQEA&#10;AGRycy9lMm9Eb2MueG1sUEsFBgAAAAAGAAYAWQEAAJ0FAAAAAA==&#10;">
                      <v:fill on="f" focussize="0,0"/>
                      <v:stroke weight="2.25pt" color="#FF0000" joinstyle="round"/>
                      <v:imagedata o:title=""/>
                      <o:lock v:ext="edit" aspectratio="f"/>
                    </v:line>
                  </w:pict>
                </mc:Fallback>
              </mc:AlternateConten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rPr>
        <w:t>重庆市开州区正安街道</w:t>
      </w:r>
      <w:r>
        <w:rPr>
          <w:rFonts w:hint="eastAsia" w:ascii="Times New Roman" w:hAnsi="Times New Roman" w:eastAsia="方正小标宋_GBK" w:cs="Times New Roman"/>
          <w:b w:val="0"/>
          <w:bCs/>
          <w:sz w:val="44"/>
          <w:szCs w:val="44"/>
          <w:lang w:val="en-US" w:eastAsia="zh-CN"/>
        </w:rPr>
        <w:t>新时代文明实践服务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44"/>
          <w:szCs w:val="44"/>
          <w:lang w:val="en-US" w:eastAsia="zh-CN"/>
        </w:rPr>
      </w:pPr>
      <w:r>
        <w:rPr>
          <w:rFonts w:hint="eastAsia" w:ascii="Times New Roman" w:hAnsi="Times New Roman" w:eastAsia="方正小标宋_GBK" w:cs="Times New Roman"/>
          <w:b w:val="0"/>
          <w:bCs/>
          <w:sz w:val="44"/>
          <w:szCs w:val="44"/>
          <w:lang w:val="en-US" w:eastAsia="zh-CN"/>
        </w:rPr>
        <w:t>中心</w:t>
      </w:r>
      <w:r>
        <w:rPr>
          <w:rFonts w:hint="default" w:ascii="Times New Roman" w:hAnsi="Times New Roman" w:eastAsia="方正小标宋_GBK" w:cs="Times New Roman"/>
          <w:b w:val="0"/>
          <w:bCs/>
          <w:sz w:val="44"/>
          <w:szCs w:val="44"/>
          <w:lang w:val="en-US" w:eastAsia="zh-CN"/>
        </w:rPr>
        <w:t>关于2026年</w:t>
      </w:r>
      <w:r>
        <w:rPr>
          <w:rFonts w:hint="eastAsia" w:ascii="Times New Roman" w:hAnsi="Times New Roman" w:eastAsia="方正小标宋_GBK" w:cs="Times New Roman"/>
          <w:b w:val="0"/>
          <w:bCs/>
          <w:sz w:val="44"/>
          <w:szCs w:val="44"/>
          <w:lang w:val="en-US" w:eastAsia="zh-CN"/>
        </w:rPr>
        <w:t>单位</w:t>
      </w:r>
      <w:r>
        <w:rPr>
          <w:rFonts w:hint="default" w:ascii="Times New Roman" w:hAnsi="Times New Roman" w:eastAsia="方正小标宋_GBK" w:cs="Times New Roman"/>
          <w:b w:val="0"/>
          <w:bCs/>
          <w:sz w:val="44"/>
          <w:szCs w:val="44"/>
          <w:lang w:val="en-US" w:eastAsia="zh-CN"/>
        </w:rPr>
        <w:t>预算情况公开的公示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w:t>
      </w:r>
      <w:r>
        <w:rPr>
          <w:rFonts w:hint="eastAsia" w:ascii="Times New Roman" w:hAnsi="Times New Roman" w:eastAsia="方正仿宋_GBK" w:cs="Times New Roman"/>
          <w:sz w:val="32"/>
          <w:szCs w:val="32"/>
          <w:highlight w:val="none"/>
          <w:lang w:val="en-US" w:eastAsia="zh-CN"/>
        </w:rPr>
        <w:t>重庆市开州区人民政府正安街道办事处</w:t>
      </w:r>
      <w:r>
        <w:rPr>
          <w:rFonts w:hint="default" w:ascii="Times New Roman" w:hAnsi="Times New Roman" w:eastAsia="方正仿宋_GBK" w:cs="Times New Roman"/>
          <w:color w:val="auto"/>
          <w:sz w:val="32"/>
          <w:szCs w:val="32"/>
          <w:highlight w:val="none"/>
        </w:rPr>
        <w:t>《关于批复</w:t>
      </w:r>
      <w:r>
        <w:rPr>
          <w:rFonts w:hint="default" w:ascii="Times New Roman" w:hAnsi="Times New Roman" w:eastAsia="方正仿宋_GBK" w:cs="Times New Roman"/>
          <w:color w:val="auto"/>
          <w:sz w:val="32"/>
          <w:szCs w:val="32"/>
          <w:highlight w:val="none"/>
          <w:lang w:val="en-US" w:eastAsia="zh-CN"/>
        </w:rPr>
        <w:t>2026</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eastAsia="zh-CN"/>
        </w:rPr>
        <w:t>单位预算</w:t>
      </w:r>
      <w:r>
        <w:rPr>
          <w:rFonts w:hint="default" w:ascii="Times New Roman" w:hAnsi="Times New Roman" w:eastAsia="方正仿宋_GBK" w:cs="Times New Roman"/>
          <w:color w:val="auto"/>
          <w:sz w:val="32"/>
          <w:szCs w:val="32"/>
          <w:highlight w:val="none"/>
        </w:rPr>
        <w:t>的通知》</w:t>
      </w:r>
      <w:r>
        <w:rPr>
          <w:rFonts w:eastAsia="方正仿宋_GBK"/>
          <w:sz w:val="32"/>
          <w:szCs w:val="32"/>
          <w:highlight w:val="none"/>
        </w:rPr>
        <w:t>（</w:t>
      </w:r>
      <w:r>
        <w:rPr>
          <w:rFonts w:hint="eastAsia" w:eastAsia="方正仿宋_GBK"/>
          <w:sz w:val="32"/>
          <w:szCs w:val="32"/>
          <w:highlight w:val="none"/>
        </w:rPr>
        <w:t>开</w:t>
      </w:r>
      <w:r>
        <w:rPr>
          <w:rFonts w:hint="eastAsia" w:eastAsia="方正仿宋_GBK"/>
          <w:sz w:val="32"/>
          <w:szCs w:val="32"/>
          <w:highlight w:val="none"/>
          <w:lang w:val="en-US" w:eastAsia="zh-CN"/>
        </w:rPr>
        <w:t>州安街发</w:t>
      </w:r>
      <w:r>
        <w:rPr>
          <w:rFonts w:eastAsia="方正仿宋_GBK"/>
          <w:sz w:val="32"/>
          <w:szCs w:val="32"/>
          <w:highlight w:val="none"/>
        </w:rPr>
        <w:t>〔</w:t>
      </w:r>
      <w:r>
        <w:rPr>
          <w:rFonts w:hint="eastAsia" w:eastAsia="方正仿宋_GBK"/>
          <w:sz w:val="32"/>
          <w:szCs w:val="32"/>
          <w:highlight w:val="none"/>
          <w:lang w:val="en-US" w:eastAsia="zh-CN"/>
        </w:rPr>
        <w:t>2026</w:t>
      </w:r>
      <w:r>
        <w:rPr>
          <w:rFonts w:eastAsia="方正仿宋_GBK"/>
          <w:sz w:val="32"/>
          <w:szCs w:val="32"/>
          <w:highlight w:val="none"/>
        </w:rPr>
        <w:t>〕</w:t>
      </w:r>
      <w:r>
        <w:rPr>
          <w:rFonts w:hint="eastAsia" w:eastAsia="方正仿宋_GBK"/>
          <w:sz w:val="32"/>
          <w:szCs w:val="32"/>
          <w:highlight w:val="none"/>
          <w:lang w:val="en-US" w:eastAsia="zh-CN"/>
        </w:rPr>
        <w:t>10</w:t>
      </w:r>
      <w:r>
        <w:rPr>
          <w:rFonts w:eastAsia="方正仿宋_GBK"/>
          <w:sz w:val="32"/>
          <w:szCs w:val="32"/>
          <w:highlight w:val="none"/>
        </w:rPr>
        <w:t>号）</w:t>
      </w:r>
      <w:r>
        <w:rPr>
          <w:rFonts w:hint="eastAsia"/>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val="en-US" w:eastAsia="zh-CN"/>
        </w:rPr>
        <w:t>重庆市开州区正安街道新时代文明实践服务中心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预算批复情况公开如下：</w:t>
      </w: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第一部分：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二、</w:t>
      </w:r>
      <w:r>
        <w:rPr>
          <w:rFonts w:hint="eastAsia" w:ascii="方正仿宋_GBK" w:hAnsi="方正仿宋_GBK" w:eastAsia="方正仿宋_GBK" w:cs="方正仿宋_GBK"/>
          <w:sz w:val="32"/>
          <w:szCs w:val="32"/>
          <w:highlight w:val="none"/>
          <w:lang w:val="en-US" w:eastAsia="zh-CN"/>
        </w:rPr>
        <w:t>单位</w:t>
      </w:r>
      <w:r>
        <w:rPr>
          <w:rFonts w:hint="eastAsia" w:ascii="方正仿宋_GBK" w:hAnsi="方正仿宋_GBK" w:eastAsia="方正仿宋_GBK" w:cs="方正仿宋_GBK"/>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w:t>
      </w:r>
      <w:r>
        <w:rPr>
          <w:rFonts w:hint="eastAsia" w:ascii="方正仿宋_GBK" w:hAnsi="方正仿宋_GBK" w:eastAsia="方正仿宋_GBK" w:cs="方正仿宋_GBK"/>
          <w:sz w:val="32"/>
          <w:szCs w:val="32"/>
          <w:highlight w:val="none"/>
          <w:lang w:eastAsia="zh-CN"/>
        </w:rPr>
        <w:t>单位预算</w:t>
      </w:r>
      <w:r>
        <w:rPr>
          <w:rFonts w:hint="eastAsia" w:ascii="方正仿宋_GBK" w:hAnsi="方正仿宋_GBK" w:eastAsia="方正仿宋_GBK" w:cs="方正仿宋_GBK"/>
          <w:sz w:val="32"/>
          <w:szCs w:val="32"/>
          <w:highlight w:val="none"/>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四、</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三公</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六</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专业性名词解释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highlight w:val="none"/>
        </w:rPr>
      </w:pPr>
      <w:r>
        <w:rPr>
          <w:rFonts w:hint="default" w:ascii="Times New Roman" w:hAnsi="Times New Roman" w:eastAsia="方正黑体_GBK" w:cs="Times New Roman"/>
          <w:sz w:val="32"/>
          <w:szCs w:val="32"/>
          <w:highlight w:val="none"/>
        </w:rPr>
        <w:t>第二部分：</w:t>
      </w:r>
      <w:r>
        <w:rPr>
          <w:rFonts w:hint="default" w:ascii="Times New Roman" w:hAnsi="Times New Roman" w:eastAsia="方正黑体_GBK" w:cs="Times New Roman"/>
          <w:sz w:val="32"/>
          <w:szCs w:val="32"/>
          <w:highlight w:val="none"/>
          <w:lang w:val="en-US" w:eastAsia="zh-CN"/>
        </w:rPr>
        <w:t>2026</w:t>
      </w:r>
      <w:r>
        <w:rPr>
          <w:rFonts w:hint="default" w:ascii="Times New Roman" w:hAnsi="Times New Roman" w:eastAsia="方正黑体_GBK" w:cs="Times New Roman"/>
          <w:sz w:val="32"/>
          <w:szCs w:val="32"/>
          <w:highlight w:val="none"/>
        </w:rPr>
        <w:t>年</w:t>
      </w:r>
      <w:r>
        <w:rPr>
          <w:rFonts w:hint="default" w:ascii="Times New Roman" w:hAnsi="Times New Roman" w:eastAsia="方正黑体_GBK" w:cs="Times New Roman"/>
          <w:sz w:val="32"/>
          <w:szCs w:val="32"/>
          <w:highlight w:val="none"/>
          <w:lang w:eastAsia="zh-CN"/>
        </w:rPr>
        <w:t>单位预算</w:t>
      </w:r>
      <w:r>
        <w:rPr>
          <w:rFonts w:hint="default" w:ascii="Times New Roman" w:hAnsi="Times New Roman" w:eastAsia="方正黑体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rPr>
        <w:t>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highlight w:val="none"/>
        </w:rPr>
        <w:t>一般公共预算</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三公</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经费支出预算表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cs="Times New Roman"/>
          <w:sz w:val="32"/>
          <w:szCs w:val="32"/>
          <w:highlight w:val="none"/>
          <w:lang w:val="en-US" w:eastAsia="zh-CN"/>
        </w:rPr>
        <w:t xml:space="preserve">. </w:t>
      </w:r>
      <w:r>
        <w:rPr>
          <w:rFonts w:hint="default" w:ascii="Times New Roman" w:hAnsi="Times New Roman" w:eastAsia="方正仿宋_GBK" w:cs="Times New Roman"/>
          <w:sz w:val="32"/>
          <w:szCs w:val="32"/>
        </w:rPr>
        <w:t>重庆市开州区</w:t>
      </w:r>
      <w:r>
        <w:rPr>
          <w:rFonts w:hint="default" w:ascii="Times New Roman" w:hAnsi="Times New Roman" w:eastAsia="方正仿宋_GBK" w:cs="Times New Roman"/>
          <w:sz w:val="32"/>
          <w:szCs w:val="32"/>
          <w:lang w:val="en-US" w:eastAsia="zh-CN"/>
        </w:rPr>
        <w:t>正安街道新时代文明实践服务中心</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方正仿宋_GBK"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情况说明</w:t>
      </w:r>
    </w:p>
    <w:p>
      <w:pPr>
        <w:keepNext w:val="0"/>
        <w:keepLines w:val="0"/>
        <w:pageBreakBefore w:val="0"/>
        <w:kinsoku/>
        <w:wordWrap/>
        <w:overflowPunct/>
        <w:topLinePunct w:val="0"/>
        <w:autoSpaceDE/>
        <w:autoSpaceDN/>
        <w:bidi w:val="0"/>
        <w:adjustRightInd/>
        <w:snapToGrid/>
        <w:spacing w:line="560" w:lineRule="exact"/>
        <w:ind w:left="0"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学习宣传新思想，弘扬时代新风尚，推动精神文明建设高质量发展。对应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楷体_GBK" w:cs="Times New Roman"/>
          <w:color w:val="auto"/>
          <w:sz w:val="32"/>
          <w:highlight w:val="none"/>
        </w:rPr>
      </w:pPr>
      <w:r>
        <w:rPr>
          <w:rFonts w:hint="default" w:ascii="Times New Roman" w:hAnsi="Times New Roman" w:eastAsia="方正楷体_GBK" w:cs="Times New Roman"/>
          <w:sz w:val="32"/>
          <w:highlight w:val="none"/>
        </w:rPr>
        <w:t>（二）单位构成</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重庆市开州区正安街道</w:t>
      </w:r>
      <w:r>
        <w:rPr>
          <w:rFonts w:hint="eastAsia" w:ascii="Times New Roman" w:hAnsi="Times New Roman" w:eastAsia="方正仿宋_GBK" w:cs="Times New Roman"/>
          <w:i w:val="0"/>
          <w:iCs w:val="0"/>
          <w:caps w:val="0"/>
          <w:color w:val="auto"/>
          <w:spacing w:val="0"/>
          <w:sz w:val="32"/>
          <w:szCs w:val="32"/>
          <w:shd w:val="clear" w:fill="FFFFFF"/>
          <w:lang w:val="en-US" w:eastAsia="zh-CN"/>
        </w:rPr>
        <w:t>新时代文明实践服务中心为公益一类事业单位，</w:t>
      </w:r>
      <w:r>
        <w:rPr>
          <w:rFonts w:hint="default" w:ascii="Times New Roman" w:hAnsi="Times New Roman" w:eastAsia="方正仿宋_GBK" w:cs="Times New Roman"/>
          <w:i w:val="0"/>
          <w:iCs w:val="0"/>
          <w:caps w:val="0"/>
          <w:color w:val="auto"/>
          <w:spacing w:val="0"/>
          <w:sz w:val="32"/>
          <w:szCs w:val="32"/>
          <w:shd w:val="clear" w:fill="FFFFFF"/>
        </w:rPr>
        <w:t>属于</w:t>
      </w:r>
      <w:r>
        <w:rPr>
          <w:rFonts w:hint="eastAsia" w:ascii="Times New Roman" w:hAnsi="Times New Roman" w:eastAsia="方正仿宋_GBK" w:cs="Times New Roman"/>
          <w:i w:val="0"/>
          <w:iCs w:val="0"/>
          <w:caps w:val="0"/>
          <w:color w:val="auto"/>
          <w:spacing w:val="0"/>
          <w:sz w:val="32"/>
          <w:szCs w:val="32"/>
          <w:shd w:val="clear" w:fill="FFFFFF"/>
          <w:lang w:val="en-US" w:eastAsia="zh-CN"/>
        </w:rPr>
        <w:t>二</w:t>
      </w:r>
      <w:r>
        <w:rPr>
          <w:rFonts w:hint="default" w:ascii="Times New Roman" w:hAnsi="Times New Roman" w:eastAsia="方正仿宋_GBK" w:cs="Times New Roman"/>
          <w:i w:val="0"/>
          <w:iCs w:val="0"/>
          <w:caps w:val="0"/>
          <w:color w:val="auto"/>
          <w:spacing w:val="0"/>
          <w:sz w:val="32"/>
          <w:szCs w:val="32"/>
          <w:shd w:val="clear" w:fill="FFFFFF"/>
        </w:rPr>
        <w:t>级预算单位，无</w:t>
      </w:r>
      <w:r>
        <w:rPr>
          <w:rFonts w:hint="eastAsia" w:ascii="Times New Roman" w:hAnsi="Times New Roman" w:eastAsia="方正仿宋_GBK" w:cs="Times New Roman"/>
          <w:i w:val="0"/>
          <w:iCs w:val="0"/>
          <w:caps w:val="0"/>
          <w:color w:val="auto"/>
          <w:spacing w:val="0"/>
          <w:sz w:val="32"/>
          <w:szCs w:val="32"/>
          <w:shd w:val="clear" w:fill="FFFFFF"/>
          <w:lang w:val="en-US" w:eastAsia="zh-CN"/>
        </w:rPr>
        <w:t>下属</w:t>
      </w:r>
      <w:r>
        <w:rPr>
          <w:rFonts w:hint="default" w:ascii="Times New Roman" w:hAnsi="Times New Roman" w:eastAsia="方正仿宋_GBK" w:cs="Times New Roman"/>
          <w:i w:val="0"/>
          <w:iCs w:val="0"/>
          <w:caps w:val="0"/>
          <w:color w:val="auto"/>
          <w:spacing w:val="0"/>
          <w:sz w:val="32"/>
          <w:szCs w:val="32"/>
          <w:shd w:val="clear" w:fill="FFFFFF"/>
        </w:rPr>
        <w:t>单位。</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highlight w:val="none"/>
        </w:rPr>
      </w:pPr>
      <w:r>
        <w:rPr>
          <w:rFonts w:hint="default" w:ascii="Times New Roman" w:hAnsi="Times New Roman" w:eastAsia="方正黑体_GBK" w:cs="Times New Roman"/>
          <w:color w:val="auto"/>
          <w:sz w:val="32"/>
          <w:highlight w:val="none"/>
        </w:rPr>
        <w:t>二、</w:t>
      </w:r>
      <w:r>
        <w:rPr>
          <w:rFonts w:hint="eastAsia" w:ascii="Times New Roman" w:hAnsi="Times New Roman" w:eastAsia="方正黑体_GBK" w:cs="Times New Roman"/>
          <w:color w:val="auto"/>
          <w:sz w:val="32"/>
          <w:highlight w:val="none"/>
          <w:lang w:val="en-US" w:eastAsia="zh-CN"/>
        </w:rPr>
        <w:t>单位</w:t>
      </w:r>
      <w:r>
        <w:rPr>
          <w:rFonts w:hint="default" w:ascii="Times New Roman" w:hAnsi="Times New Roman" w:eastAsia="方正黑体_GBK" w:cs="Times New Roman"/>
          <w:color w:val="auto"/>
          <w:sz w:val="32"/>
          <w:highlight w:val="none"/>
        </w:rPr>
        <w:t>收支总体情况</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103.97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103.97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color w:val="auto"/>
          <w:sz w:val="32"/>
          <w:highlight w:val="none"/>
        </w:rPr>
        <w:t>。收入较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增加103.97</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eastAsia" w:ascii="Times New Roman" w:hAnsi="Times New Roman" w:eastAsia="方正仿宋_GBK" w:cs="Times New Roman"/>
          <w:sz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FF0000"/>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103.97</w:t>
      </w:r>
      <w:r>
        <w:rPr>
          <w:rFonts w:hint="default" w:ascii="Times New Roman" w:hAnsi="Times New Roman" w:eastAsia="方正仿宋_GBK" w:cs="Times New Roman"/>
          <w:sz w:val="32"/>
          <w:highlight w:val="none"/>
        </w:rPr>
        <w:t>万元，其中：文化旅游体育与传媒支出预算</w:t>
      </w:r>
      <w:r>
        <w:rPr>
          <w:rFonts w:hint="eastAsia" w:ascii="Times New Roman" w:hAnsi="Times New Roman" w:eastAsia="方正仿宋_GBK" w:cs="Times New Roman"/>
          <w:sz w:val="32"/>
          <w:highlight w:val="none"/>
          <w:lang w:val="en-US" w:eastAsia="zh-CN"/>
        </w:rPr>
        <w:t>77.91</w:t>
      </w:r>
      <w:r>
        <w:rPr>
          <w:rFonts w:hint="default" w:ascii="Times New Roman" w:hAnsi="Times New Roman" w:eastAsia="方正仿宋_GBK" w:cs="Times New Roman"/>
          <w:sz w:val="32"/>
          <w:highlight w:val="none"/>
        </w:rPr>
        <w:t>万元，社会保障和就业支出预算</w:t>
      </w:r>
      <w:r>
        <w:rPr>
          <w:rFonts w:hint="eastAsia" w:ascii="Times New Roman" w:hAnsi="Times New Roman" w:eastAsia="方正仿宋_GBK" w:cs="Times New Roman"/>
          <w:sz w:val="32"/>
          <w:highlight w:val="none"/>
          <w:lang w:val="en-US" w:eastAsia="zh-CN"/>
        </w:rPr>
        <w:t>16.14</w:t>
      </w:r>
      <w:r>
        <w:rPr>
          <w:rFonts w:hint="default" w:ascii="Times New Roman" w:hAnsi="Times New Roman" w:eastAsia="方正仿宋_GBK" w:cs="Times New Roman"/>
          <w:sz w:val="32"/>
          <w:highlight w:val="none"/>
        </w:rPr>
        <w:t>万元，卫生健康支出预算</w:t>
      </w:r>
      <w:r>
        <w:rPr>
          <w:rFonts w:hint="eastAsia" w:ascii="Times New Roman" w:hAnsi="Times New Roman" w:eastAsia="方正仿宋_GBK" w:cs="Times New Roman"/>
          <w:sz w:val="32"/>
          <w:highlight w:val="none"/>
          <w:lang w:val="en-US" w:eastAsia="zh-CN"/>
        </w:rPr>
        <w:t>5.12</w:t>
      </w:r>
      <w:r>
        <w:rPr>
          <w:rFonts w:hint="default" w:ascii="Times New Roman" w:hAnsi="Times New Roman" w:eastAsia="方正仿宋_GBK" w:cs="Times New Roman"/>
          <w:sz w:val="32"/>
          <w:highlight w:val="none"/>
        </w:rPr>
        <w:t>万元，住房保障支出预算</w:t>
      </w:r>
      <w:r>
        <w:rPr>
          <w:rFonts w:hint="eastAsia" w:ascii="Times New Roman" w:hAnsi="Times New Roman" w:eastAsia="方正仿宋_GBK" w:cs="Times New Roman"/>
          <w:sz w:val="32"/>
          <w:highlight w:val="none"/>
          <w:lang w:val="en-US" w:eastAsia="zh-CN"/>
        </w:rPr>
        <w:t>4.8万元</w:t>
      </w:r>
      <w:r>
        <w:rPr>
          <w:rFonts w:hint="default" w:ascii="Times New Roman" w:hAnsi="Times New Roman" w:eastAsia="方正仿宋_GBK" w:cs="Times New Roman"/>
          <w:color w:val="auto"/>
          <w:sz w:val="32"/>
          <w:highlight w:val="none"/>
        </w:rPr>
        <w:t>。支出预算较</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w:t>
      </w:r>
      <w:r>
        <w:rPr>
          <w:rFonts w:hint="eastAsia" w:ascii="Times New Roman" w:hAnsi="Times New Roman" w:eastAsia="方正仿宋_GBK" w:cs="Times New Roman"/>
          <w:color w:val="auto"/>
          <w:sz w:val="32"/>
          <w:highlight w:val="none"/>
          <w:lang w:val="en-US" w:eastAsia="zh-CN"/>
        </w:rPr>
        <w:t>增加103.97</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eastAsia" w:ascii="Times New Roman" w:hAnsi="Times New Roman" w:eastAsia="方正仿宋_GBK" w:cs="Times New Roman"/>
          <w:sz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单位预算</w:t>
      </w:r>
      <w:r>
        <w:rPr>
          <w:rFonts w:hint="default" w:ascii="Times New Roman" w:hAnsi="Times New Roman" w:eastAsia="方正黑体_GBK" w:cs="Times New Roman"/>
          <w:sz w:val="32"/>
          <w:highlight w:val="none"/>
        </w:rPr>
        <w:t>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103.97</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103.97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103.97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color w:val="auto"/>
          <w:sz w:val="32"/>
          <w:highlight w:val="none"/>
        </w:rPr>
        <w:t>其中：基本支出</w:t>
      </w:r>
      <w:r>
        <w:rPr>
          <w:rFonts w:hint="eastAsia" w:ascii="Times New Roman" w:hAnsi="Times New Roman" w:eastAsia="方正仿宋_GBK" w:cs="Times New Roman"/>
          <w:color w:val="auto"/>
          <w:sz w:val="32"/>
          <w:highlight w:val="none"/>
          <w:lang w:val="en-US" w:eastAsia="zh-CN"/>
        </w:rPr>
        <w:t>103.97</w:t>
      </w:r>
      <w:r>
        <w:rPr>
          <w:rFonts w:hint="default" w:ascii="Times New Roman" w:hAnsi="Times New Roman" w:eastAsia="方正仿宋_GBK" w:cs="Times New Roman"/>
          <w:color w:val="auto"/>
          <w:sz w:val="32"/>
          <w:highlight w:val="none"/>
        </w:rPr>
        <w:t>万元，比</w:t>
      </w:r>
      <w:r>
        <w:rPr>
          <w:rFonts w:hint="default" w:ascii="Times New Roman" w:hAnsi="Times New Roman" w:eastAsia="方正仿宋_GBK" w:cs="Times New Roman"/>
          <w:color w:val="auto"/>
          <w:sz w:val="32"/>
          <w:highlight w:val="none"/>
          <w:lang w:val="en-US" w:eastAsia="zh-CN"/>
        </w:rPr>
        <w:t>2025</w:t>
      </w:r>
      <w:r>
        <w:rPr>
          <w:rFonts w:hint="default" w:ascii="Times New Roman" w:hAnsi="Times New Roman" w:eastAsia="方正仿宋_GBK" w:cs="Times New Roman"/>
          <w:color w:val="auto"/>
          <w:sz w:val="32"/>
          <w:highlight w:val="none"/>
        </w:rPr>
        <w:t>年增加</w:t>
      </w:r>
      <w:r>
        <w:rPr>
          <w:rFonts w:hint="eastAsia" w:ascii="Times New Roman" w:hAnsi="Times New Roman" w:eastAsia="方正仿宋_GBK" w:cs="Times New Roman"/>
          <w:color w:val="auto"/>
          <w:sz w:val="32"/>
          <w:highlight w:val="none"/>
          <w:lang w:val="en-US" w:eastAsia="zh-CN"/>
        </w:rPr>
        <w:t>103.97</w:t>
      </w:r>
      <w:r>
        <w:rPr>
          <w:rFonts w:hint="default" w:ascii="Times New Roman" w:hAnsi="Times New Roman" w:eastAsia="方正仿宋_GBK" w:cs="Times New Roman"/>
          <w:color w:val="auto"/>
          <w:sz w:val="32"/>
          <w:highlight w:val="none"/>
        </w:rPr>
        <w:t>万元，主要</w:t>
      </w:r>
      <w:r>
        <w:rPr>
          <w:rFonts w:hint="eastAsia" w:ascii="Times New Roman" w:hAnsi="Times New Roman" w:eastAsia="方正仿宋_GBK" w:cs="Times New Roman"/>
          <w:color w:val="auto"/>
          <w:sz w:val="32"/>
          <w:highlight w:val="none"/>
          <w:lang w:val="en-US" w:eastAsia="zh-CN"/>
        </w:rPr>
        <w:t>原因</w:t>
      </w:r>
      <w:r>
        <w:rPr>
          <w:rFonts w:hint="default" w:ascii="Times New Roman" w:hAnsi="Times New Roman" w:eastAsia="方正仿宋_GBK" w:cs="Times New Roman"/>
          <w:color w:val="auto"/>
          <w:sz w:val="32"/>
          <w:highlight w:val="none"/>
        </w:rPr>
        <w:t>是</w:t>
      </w:r>
      <w:r>
        <w:rPr>
          <w:rFonts w:hint="eastAsia" w:ascii="Times New Roman" w:hAnsi="Times New Roman" w:eastAsia="方正仿宋_GBK" w:cs="Times New Roman"/>
          <w:color w:val="auto"/>
          <w:sz w:val="32"/>
          <w:highlight w:val="none"/>
          <w:lang w:val="en-US" w:eastAsia="zh-CN"/>
        </w:rPr>
        <w:t>预算编制方式由上年的机关与事业单位汇总编报调整为本年的分单位独立编制</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color w:val="auto"/>
          <w:sz w:val="32"/>
          <w:highlight w:val="none"/>
        </w:rPr>
        <w:t>主要用于保障在职人员工资福利及社会保险缴费，退休人员补助等，保障部门正常运转的各项商品服务支出；项目支出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重庆市开州区正安街道新时代文明实践服务中心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highlight w:val="none"/>
        </w:rPr>
      </w:pPr>
      <w:r>
        <w:rPr>
          <w:rFonts w:hint="eastAsia" w:ascii="方正黑体_GBK" w:hAnsi="方正黑体_GBK" w:eastAsia="方正黑体_GBK" w:cs="方正黑体_GBK"/>
          <w:sz w:val="32"/>
          <w:highlight w:val="none"/>
        </w:rPr>
        <w:t>四、</w:t>
      </w:r>
      <w:r>
        <w:rPr>
          <w:rFonts w:hint="eastAsia" w:ascii="方正黑体_GBK" w:hAnsi="方正黑体_GBK" w:eastAsia="方正黑体_GBK" w:cs="方正黑体_GBK"/>
          <w:kern w:val="0"/>
          <w:sz w:val="32"/>
          <w:szCs w:val="24"/>
          <w:highlight w:val="none"/>
          <w:lang w:val="en-US" w:eastAsia="zh-CN" w:bidi="ar-SA"/>
        </w:rPr>
        <w:t>“三公”</w:t>
      </w:r>
      <w:r>
        <w:rPr>
          <w:rFonts w:hint="eastAsia" w:ascii="方正黑体_GBK" w:hAnsi="方正黑体_GBK" w:eastAsia="方正黑体_GBK" w:cs="方正黑体_GBK"/>
          <w:sz w:val="32"/>
          <w:highlight w:val="none"/>
        </w:rPr>
        <w:t>经费情况说明</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z w:val="32"/>
          <w:highlight w:val="none"/>
          <w:lang w:val="en-US" w:eastAsia="zh-CN"/>
        </w:rPr>
      </w:pPr>
      <w:r>
        <w:rPr>
          <w:rFonts w:hint="eastAsia" w:ascii="Times New Roman" w:hAnsi="Times New Roman" w:eastAsia="方正仿宋_GBK" w:cs="Times New Roman"/>
          <w:color w:val="auto"/>
          <w:sz w:val="32"/>
          <w:highlight w:val="none"/>
          <w:lang w:val="en-US" w:eastAsia="zh-CN"/>
        </w:rPr>
        <w:t>我单位为二级预算单位，不涉及</w:t>
      </w:r>
      <w:r>
        <w:rPr>
          <w:rFonts w:hint="eastAsia" w:ascii="Times New Roman" w:hAnsi="Times New Roman" w:eastAsia="方正仿宋_GBK" w:cs="Times New Roman"/>
          <w:kern w:val="0"/>
          <w:sz w:val="32"/>
          <w:szCs w:val="24"/>
          <w:highlight w:val="none"/>
          <w:lang w:val="en-US" w:eastAsia="zh-CN" w:bidi="ar-SA"/>
        </w:rPr>
        <w:t>“三公”</w:t>
      </w:r>
      <w:r>
        <w:rPr>
          <w:rFonts w:hint="default" w:ascii="Times New Roman" w:hAnsi="Times New Roman" w:eastAsia="方正仿宋_GBK" w:cs="Times New Roman"/>
          <w:color w:val="auto"/>
          <w:sz w:val="32"/>
          <w:highlight w:val="none"/>
        </w:rPr>
        <w:t>经费</w:t>
      </w:r>
      <w:r>
        <w:rPr>
          <w:rFonts w:hint="eastAsia" w:ascii="Times New Roman" w:hAnsi="Times New Roman" w:eastAsia="方正仿宋_GBK" w:cs="Times New Roman"/>
          <w:color w:val="auto"/>
          <w:sz w:val="32"/>
          <w:highlight w:val="none"/>
          <w:lang w:val="en-US" w:eastAsia="zh-CN"/>
        </w:rPr>
        <w:t>的</w:t>
      </w:r>
      <w:r>
        <w:rPr>
          <w:rFonts w:hint="default" w:ascii="Times New Roman" w:hAnsi="Times New Roman" w:eastAsia="方正仿宋_GBK" w:cs="Times New Roman"/>
          <w:color w:val="auto"/>
          <w:sz w:val="32"/>
          <w:highlight w:val="none"/>
        </w:rPr>
        <w:t>预算</w:t>
      </w:r>
      <w:r>
        <w:rPr>
          <w:rFonts w:hint="eastAsia" w:ascii="Times New Roman" w:hAnsi="Times New Roman" w:eastAsia="方正仿宋_GBK" w:cs="Times New Roman"/>
          <w:color w:val="auto"/>
          <w:sz w:val="32"/>
          <w:highlight w:val="none"/>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color w:val="auto"/>
          <w:sz w:val="32"/>
          <w:highlight w:val="none"/>
        </w:rPr>
      </w:pPr>
      <w:r>
        <w:rPr>
          <w:rFonts w:hint="default" w:ascii="Times New Roman" w:hAnsi="Times New Roman" w:eastAsia="方正黑体_GBK" w:cs="Times New Roman"/>
          <w:color w:val="auto"/>
          <w:sz w:val="32"/>
          <w:highlight w:val="none"/>
        </w:rPr>
        <w:t>其他重要事项的情况说明</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color w:val="auto"/>
          <w:sz w:val="32"/>
          <w:highlight w:val="none"/>
        </w:rPr>
      </w:pPr>
      <w:r>
        <w:rPr>
          <w:rFonts w:hint="default" w:ascii="方正楷体_GBK" w:hAnsi="方正楷体_GBK" w:eastAsia="方正楷体_GBK" w:cs="方正楷体_GBK"/>
          <w:color w:val="auto"/>
          <w:sz w:val="32"/>
          <w:szCs w:val="32"/>
          <w:highlight w:val="none"/>
        </w:rPr>
        <w:t>（一）</w:t>
      </w:r>
      <w:r>
        <w:rPr>
          <w:rFonts w:hint="eastAsia" w:ascii="方正楷体_GBK" w:hAnsi="方正楷体_GBK" w:eastAsia="方正楷体_GBK" w:cs="方正楷体_GBK"/>
          <w:color w:val="auto"/>
          <w:sz w:val="32"/>
          <w:szCs w:val="32"/>
          <w:highlight w:val="none"/>
          <w:lang w:val="en-US" w:eastAsia="zh-CN"/>
        </w:rPr>
        <w:t>机关运行经费。</w:t>
      </w:r>
      <w:r>
        <w:rPr>
          <w:rFonts w:hint="default" w:ascii="Times New Roman" w:hAnsi="Times New Roman" w:eastAsia="方正仿宋_GBK" w:cs="Times New Roman"/>
          <w:color w:val="auto"/>
          <w:sz w:val="32"/>
          <w:highlight w:val="none"/>
        </w:rPr>
        <w:t>我单位不在机关运行经费统计范围之内。</w:t>
      </w:r>
    </w:p>
    <w:p>
      <w:pPr>
        <w:ind w:firstLine="640" w:firstLineChars="200"/>
        <w:rPr>
          <w:rFonts w:hint="default" w:ascii="Times New Roman" w:hAnsi="Times New Roman" w:eastAsia="方正仿宋_GBK" w:cs="Times New Roman"/>
          <w:color w:val="auto"/>
          <w:sz w:val="32"/>
          <w:highlight w:val="none"/>
          <w:lang w:val="en-US" w:eastAsia="zh-CN"/>
        </w:rPr>
      </w:pPr>
      <w:r>
        <w:rPr>
          <w:rFonts w:hint="default" w:ascii="方正楷体_GBK" w:hAnsi="方正楷体_GBK" w:eastAsia="方正楷体_GBK" w:cs="方正楷体_GBK"/>
          <w:color w:val="auto"/>
          <w:sz w:val="32"/>
          <w:szCs w:val="32"/>
          <w:highlight w:val="none"/>
        </w:rPr>
        <w:t>（二）政府采购情况。</w:t>
      </w:r>
      <w:r>
        <w:rPr>
          <w:rFonts w:hint="default" w:ascii="Times New Roman" w:hAnsi="Times New Roman" w:eastAsia="方正仿宋_GBK" w:cs="Times New Roman"/>
          <w:color w:val="auto"/>
          <w:sz w:val="32"/>
          <w:highlight w:val="none"/>
        </w:rPr>
        <w:t>所属各预算单位政府采购预算总额</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万元：政府采购货物预算</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万元、政府采购工程预算</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万元、政府采购服务预算</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万元；其中一般公共预算拨款政府采购</w:t>
      </w:r>
      <w:r>
        <w:rPr>
          <w:rFonts w:hint="eastAsia" w:ascii="Times New Roman" w:hAnsi="Times New Roman" w:eastAsia="方正仿宋_GBK" w:cs="Times New Roman"/>
          <w:color w:val="auto"/>
          <w:sz w:val="32"/>
          <w:highlight w:val="none"/>
          <w:lang w:val="en-US" w:eastAsia="zh-CN"/>
        </w:rPr>
        <w:t>0</w:t>
      </w:r>
      <w:r>
        <w:rPr>
          <w:rFonts w:hint="default" w:ascii="Times New Roman" w:hAnsi="Times New Roman" w:eastAsia="方正仿宋_GBK" w:cs="Times New Roman"/>
          <w:color w:val="auto"/>
          <w:sz w:val="32"/>
          <w:highlight w:val="none"/>
        </w:rPr>
        <w:t>万元：</w:t>
      </w:r>
      <w:r>
        <w:rPr>
          <w:rFonts w:eastAsia="方正仿宋_GBK"/>
          <w:sz w:val="32"/>
          <w:highlight w:val="none"/>
        </w:rPr>
        <w:t>政府采购货物预算</w:t>
      </w:r>
      <w:r>
        <w:rPr>
          <w:rFonts w:hint="eastAsia" w:eastAsia="方正仿宋_GBK"/>
          <w:sz w:val="32"/>
          <w:highlight w:val="none"/>
          <w:lang w:val="en-US" w:eastAsia="zh-CN"/>
        </w:rPr>
        <w:t>0</w:t>
      </w:r>
      <w:r>
        <w:rPr>
          <w:rFonts w:eastAsia="方正仿宋_GBK"/>
          <w:sz w:val="32"/>
          <w:highlight w:val="none"/>
        </w:rPr>
        <w:t>万元、政府采购工程预算</w:t>
      </w:r>
      <w:r>
        <w:rPr>
          <w:rFonts w:hint="eastAsia" w:eastAsia="方正仿宋_GBK"/>
          <w:sz w:val="32"/>
          <w:highlight w:val="none"/>
          <w:lang w:val="en-US" w:eastAsia="zh-CN"/>
        </w:rPr>
        <w:t>0</w:t>
      </w:r>
      <w:r>
        <w:rPr>
          <w:rFonts w:eastAsia="方正仿宋_GBK"/>
          <w:sz w:val="32"/>
          <w:highlight w:val="none"/>
        </w:rPr>
        <w:t>万元、政府采购服务预算</w:t>
      </w:r>
      <w:r>
        <w:rPr>
          <w:rFonts w:hint="eastAsia" w:eastAsia="方正仿宋_GBK"/>
          <w:sz w:val="32"/>
          <w:highlight w:val="none"/>
          <w:lang w:val="en-US" w:eastAsia="zh-CN"/>
        </w:rPr>
        <w:t>0</w:t>
      </w:r>
      <w:r>
        <w:rPr>
          <w:rFonts w:eastAsia="方正仿宋_GBK"/>
          <w:sz w:val="32"/>
          <w:highlight w:val="none"/>
        </w:rPr>
        <w:t>万元。</w:t>
      </w:r>
    </w:p>
    <w:p>
      <w:pPr>
        <w:ind w:firstLine="640" w:firstLineChars="200"/>
        <w:rPr>
          <w:rFonts w:hint="default" w:ascii="Times New Roman" w:hAnsi="Times New Roman" w:eastAsia="方正仿宋_GBK" w:cs="Times New Roman"/>
          <w:color w:val="auto"/>
          <w:sz w:val="32"/>
          <w:highlight w:val="none"/>
        </w:rPr>
      </w:pPr>
      <w:r>
        <w:rPr>
          <w:rFonts w:hint="default" w:ascii="方正楷体_GBK" w:hAnsi="方正楷体_GBK" w:eastAsia="方正楷体_GBK" w:cs="方正楷体_GBK"/>
          <w:color w:val="auto"/>
          <w:sz w:val="32"/>
          <w:szCs w:val="32"/>
          <w:highlight w:val="none"/>
        </w:rPr>
        <w:t>（三）绩效目标设置情况。</w:t>
      </w:r>
      <w:r>
        <w:rPr>
          <w:rFonts w:hint="eastAsia" w:eastAsia="方正仿宋_GBK"/>
          <w:color w:val="000000"/>
          <w:sz w:val="32"/>
          <w:highlight w:val="none"/>
          <w:lang w:val="en-US" w:eastAsia="zh-CN"/>
        </w:rPr>
        <w:t>2026</w:t>
      </w:r>
      <w:r>
        <w:rPr>
          <w:rFonts w:eastAsia="方正仿宋_GBK"/>
          <w:color w:val="000000"/>
          <w:sz w:val="32"/>
          <w:highlight w:val="none"/>
        </w:rPr>
        <w:t>年项目支出均实行了绩效目标管理，涉及一般公共预算当年财政拨款</w:t>
      </w:r>
      <w:r>
        <w:rPr>
          <w:rFonts w:hint="eastAsia" w:eastAsia="方正仿宋_GBK"/>
          <w:color w:val="000000"/>
          <w:sz w:val="32"/>
          <w:highlight w:val="none"/>
          <w:lang w:val="en-US" w:eastAsia="zh-CN"/>
        </w:rPr>
        <w:t>0</w:t>
      </w:r>
      <w:r>
        <w:rPr>
          <w:rFonts w:eastAsia="方正仿宋_GBK"/>
          <w:color w:val="000000"/>
          <w:sz w:val="32"/>
          <w:highlight w:val="none"/>
        </w:rPr>
        <w:t>万元。</w:t>
      </w:r>
    </w:p>
    <w:p>
      <w:pPr>
        <w:ind w:firstLine="640" w:firstLineChars="200"/>
        <w:rPr>
          <w:rFonts w:hint="default" w:ascii="Times New Roman" w:hAnsi="Times New Roman" w:eastAsia="方正仿宋_GBK" w:cs="Times New Roman"/>
          <w:color w:val="auto"/>
          <w:sz w:val="32"/>
          <w:highlight w:val="none"/>
          <w:lang w:val="en-US" w:eastAsia="zh-CN"/>
        </w:rPr>
      </w:pPr>
      <w:r>
        <w:rPr>
          <w:rFonts w:hint="eastAsia" w:ascii="方正楷体_GBK" w:hAnsi="方正楷体_GBK" w:eastAsia="方正楷体_GBK" w:cs="方正楷体_GBK"/>
          <w:color w:val="auto"/>
          <w:sz w:val="32"/>
          <w:szCs w:val="32"/>
          <w:highlight w:val="none"/>
        </w:rPr>
        <w:t>（四）国有资产占有使用情况。</w:t>
      </w:r>
      <w:r>
        <w:rPr>
          <w:rFonts w:eastAsia="方正仿宋_GBK"/>
          <w:color w:val="000000"/>
          <w:sz w:val="32"/>
          <w:highlight w:val="none"/>
        </w:rPr>
        <w:t>截</w:t>
      </w:r>
      <w:r>
        <w:rPr>
          <w:rFonts w:hint="eastAsia" w:eastAsia="方正仿宋_GBK"/>
          <w:color w:val="000000"/>
          <w:sz w:val="32"/>
          <w:highlight w:val="none"/>
          <w:lang w:eastAsia="zh-CN"/>
        </w:rPr>
        <w:t>至</w:t>
      </w:r>
      <w:r>
        <w:rPr>
          <w:rFonts w:hint="eastAsia" w:eastAsia="方正仿宋_GBK"/>
          <w:color w:val="000000"/>
          <w:sz w:val="32"/>
          <w:highlight w:val="none"/>
          <w:lang w:val="en-US" w:eastAsia="zh-CN"/>
        </w:rPr>
        <w:t>2025</w:t>
      </w:r>
      <w:r>
        <w:rPr>
          <w:rFonts w:eastAsia="方正仿宋_GBK"/>
          <w:color w:val="000000"/>
          <w:sz w:val="32"/>
          <w:highlight w:val="none"/>
        </w:rPr>
        <w:t>年12月，所属各预算单位共有车辆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eastAsia" w:eastAsia="方正仿宋_GBK"/>
          <w:color w:val="000000"/>
          <w:sz w:val="32"/>
          <w:highlight w:val="none"/>
          <w:lang w:val="en-US" w:eastAsia="zh-CN"/>
        </w:rPr>
        <w:t>2026</w:t>
      </w:r>
      <w:r>
        <w:rPr>
          <w:rFonts w:eastAsia="方正仿宋_GBK"/>
          <w:color w:val="000000"/>
          <w:sz w:val="32"/>
          <w:highlight w:val="none"/>
        </w:rPr>
        <w:t>年一般公共预算安排购置车辆</w:t>
      </w:r>
      <w:r>
        <w:rPr>
          <w:rFonts w:hint="eastAsia" w:eastAsia="方正仿宋_GBK"/>
          <w:color w:val="000000"/>
          <w:sz w:val="32"/>
          <w:highlight w:val="none"/>
          <w:lang w:val="en-US" w:eastAsia="zh-CN"/>
        </w:rPr>
        <w:t>0</w:t>
      </w:r>
      <w:r>
        <w:rPr>
          <w:rFonts w:eastAsia="方正仿宋_GBK"/>
          <w:color w:val="000000"/>
          <w:sz w:val="32"/>
          <w:highlight w:val="none"/>
        </w:rPr>
        <w:t>辆，其中一般公务用车</w:t>
      </w:r>
      <w:r>
        <w:rPr>
          <w:rFonts w:hint="eastAsia" w:eastAsia="方正仿宋_GBK"/>
          <w:color w:val="000000"/>
          <w:sz w:val="32"/>
          <w:highlight w:val="none"/>
          <w:lang w:val="en-US" w:eastAsia="zh-CN"/>
        </w:rPr>
        <w:t>0</w:t>
      </w:r>
      <w:r>
        <w:rPr>
          <w:rFonts w:eastAsia="方正仿宋_GBK"/>
          <w:color w:val="000000"/>
          <w:sz w:val="32"/>
          <w:highlight w:val="none"/>
        </w:rPr>
        <w:t>辆、执勤执法用车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0"/>
        <w:keepNext w:val="0"/>
        <w:keepLines w:val="0"/>
        <w:pageBreakBefore w:val="0"/>
        <w:tabs>
          <w:tab w:val="center" w:pos="4153"/>
          <w:tab w:val="left" w:pos="7275"/>
        </w:tabs>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kinsoku/>
        <w:wordWrap/>
        <w:overflowPunct/>
        <w:topLinePunct w:val="0"/>
        <w:autoSpaceDE/>
        <w:autoSpaceDN/>
        <w:bidi w:val="0"/>
        <w:adjustRightInd/>
        <w:snapToGrid/>
        <w:spacing w:line="560" w:lineRule="exact"/>
        <w:ind w:left="0" w:firstLine="880" w:firstLineChars="200"/>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单位预算</w:t>
      </w:r>
      <w:r>
        <w:rPr>
          <w:rFonts w:hint="default" w:ascii="Times New Roman" w:hAnsi="Times New Roman" w:eastAsia="方正小标宋_GBK" w:cs="Times New Roman"/>
          <w:sz w:val="44"/>
          <w:szCs w:val="44"/>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公开报表（详见附表</w:t>
      </w:r>
      <w:r>
        <w:rPr>
          <w:rFonts w:hint="default" w:ascii="Times New Roman" w:hAnsi="Times New Roman" w:eastAsia="方正仿宋_GBK" w:cs="Times New Roman"/>
          <w:sz w:val="32"/>
          <w:lang w:val="en-US" w:eastAsia="zh-CN"/>
        </w:rPr>
        <w:t>重庆市开州区正安街道</w:t>
      </w:r>
      <w:r>
        <w:rPr>
          <w:rFonts w:hint="eastAsia" w:ascii="Times New Roman" w:hAnsi="Times New Roman" w:eastAsia="方正仿宋_GBK" w:cs="Times New Roman"/>
          <w:sz w:val="32"/>
          <w:lang w:val="en-US" w:eastAsia="zh-CN"/>
        </w:rPr>
        <w:t>新时代文明实践服务中心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公开报表）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单位预算</w:t>
      </w:r>
      <w:r>
        <w:rPr>
          <w:rFonts w:hint="default" w:ascii="Times New Roman" w:hAnsi="Times New Roman" w:eastAsia="方正仿宋_GBK" w:cs="Times New Roman"/>
          <w:sz w:val="32"/>
          <w:szCs w:val="32"/>
          <w:highlight w:val="none"/>
        </w:rPr>
        <w:t>公开联系人：</w:t>
      </w:r>
      <w:r>
        <w:rPr>
          <w:rFonts w:hint="eastAsia" w:ascii="Times New Roman" w:hAnsi="Times New Roman" w:eastAsia="方正仿宋_GBK" w:cs="Times New Roman"/>
          <w:sz w:val="32"/>
          <w:szCs w:val="32"/>
          <w:highlight w:val="none"/>
          <w:lang w:val="en-US" w:eastAsia="zh-CN"/>
        </w:rPr>
        <w:t>向亚书</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52242000</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pacing w:val="-6"/>
          <w:sz w:val="32"/>
          <w:szCs w:val="32"/>
          <w:lang w:eastAsia="zh-CN"/>
        </w:rPr>
      </w:pPr>
      <w:r>
        <w:rPr>
          <w:rFonts w:hint="default" w:ascii="Times New Roman" w:hAnsi="Times New Roman" w:eastAsia="方正仿宋_GBK" w:cs="Times New Roman"/>
          <w:sz w:val="32"/>
          <w:szCs w:val="32"/>
          <w:highlight w:val="none"/>
        </w:rPr>
        <w:t xml:space="preserve">　    </w:t>
      </w:r>
      <w:r>
        <w:rPr>
          <w:rFonts w:hint="eastAsia"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pacing w:val="-6"/>
          <w:sz w:val="32"/>
          <w:szCs w:val="32"/>
        </w:rPr>
        <w:t>重庆市开州区人民政府正安街道办事处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bookmarkStart w:id="0" w:name="_GoBack"/>
      <w:bookmarkEnd w:id="0"/>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pStyle w:val="8"/>
        <w:spacing w:line="120" w:lineRule="exact"/>
        <w:ind w:firstLine="0" w:firstLineChars="0"/>
        <w:rPr>
          <w:rFonts w:ascii="Times New Roman" w:eastAsia="方正仿宋_GBK"/>
          <w:szCs w:val="32"/>
          <w:u w:val="single"/>
        </w:rPr>
      </w:pPr>
    </w:p>
    <w:p>
      <w:pPr>
        <w:bidi w:val="0"/>
        <w:rPr>
          <w:rFonts w:hint="default"/>
          <w:lang w:val="en-US" w:eastAsia="zh-CN"/>
        </w:rPr>
      </w:pPr>
    </w:p>
    <w:p>
      <w:pPr>
        <w:rPr>
          <w:rFonts w:hint="default"/>
        </w:rPr>
      </w:pPr>
    </w:p>
    <w:p>
      <w:pPr>
        <w:keepNext w:val="0"/>
        <w:keepLines w:val="0"/>
        <w:pageBreakBefore w:val="0"/>
        <w:widowControl w:val="0"/>
        <w:pBdr>
          <w:top w:val="single" w:color="auto" w:sz="4" w:space="1"/>
          <w:bottom w:val="single" w:color="auto" w:sz="8" w:space="1"/>
        </w:pBdr>
        <w:kinsoku/>
        <w:wordWrap/>
        <w:overflowPunct/>
        <w:topLinePunct w:val="0"/>
        <w:autoSpaceDE/>
        <w:autoSpaceDN/>
        <w:bidi w:val="0"/>
        <w:adjustRightInd/>
        <w:snapToGrid/>
        <w:spacing w:line="500" w:lineRule="exact"/>
        <w:ind w:firstLine="280" w:firstLineChars="100"/>
        <w:textAlignment w:val="auto"/>
      </w:pPr>
      <w:r>
        <w:rPr>
          <w:rFonts w:hint="eastAsia" w:ascii="方正仿宋_GBK" w:hAnsi="方正仿宋_GBK" w:eastAsia="方正仿宋_GBK" w:cs="方正仿宋_GBK"/>
          <w:sz w:val="28"/>
          <w:szCs w:val="28"/>
        </w:rPr>
        <w:t xml:space="preserve">重庆市开州区正安街道基层治理综合指挥室  </w:t>
      </w:r>
      <w:r>
        <w:rPr>
          <w:rFonts w:hint="default" w:ascii="Times New Roman" w:hAnsi="Times New Roman" w:eastAsia="方正仿宋_GBK" w:cs="Times New Roman"/>
          <w:sz w:val="28"/>
          <w:szCs w:val="28"/>
        </w:rPr>
        <w:t>202</w:t>
      </w:r>
      <w:r>
        <w:rPr>
          <w:rFonts w:hint="eastAsia" w:cs="Times New Roman"/>
          <w:sz w:val="28"/>
          <w:szCs w:val="28"/>
          <w:lang w:val="en-US" w:eastAsia="zh-CN"/>
        </w:rPr>
        <w:t>6</w:t>
      </w:r>
      <w:r>
        <w:rPr>
          <w:rFonts w:hint="default" w:ascii="Times New Roman" w:hAnsi="Times New Roman" w:eastAsia="方正仿宋_GBK" w:cs="Times New Roman"/>
          <w:sz w:val="28"/>
          <w:szCs w:val="28"/>
        </w:rPr>
        <w:t>年</w:t>
      </w:r>
      <w:r>
        <w:rPr>
          <w:rFonts w:hint="eastAsia" w:cs="Times New Roman"/>
          <w:sz w:val="28"/>
          <w:szCs w:val="28"/>
          <w:lang w:val="en-US" w:eastAsia="zh-CN"/>
        </w:rPr>
        <w:t>3</w:t>
      </w:r>
      <w:r>
        <w:rPr>
          <w:rFonts w:hint="default" w:ascii="Times New Roman" w:hAnsi="Times New Roman" w:eastAsia="方正仿宋_GBK" w:cs="Times New Roman"/>
          <w:sz w:val="28"/>
          <w:szCs w:val="28"/>
        </w:rPr>
        <w:t>月</w:t>
      </w:r>
      <w:r>
        <w:rPr>
          <w:rFonts w:hint="eastAsia" w:cs="Times New Roman"/>
          <w:sz w:val="28"/>
          <w:szCs w:val="28"/>
          <w:lang w:val="en-US" w:eastAsia="zh-CN"/>
        </w:rPr>
        <w:t>12</w:t>
      </w:r>
      <w:r>
        <w:rPr>
          <w:rFonts w:hint="default" w:ascii="Times New Roman" w:hAnsi="Times New Roman" w:eastAsia="方正仿宋_GBK" w:cs="Times New Roman"/>
          <w:sz w:val="28"/>
          <w:szCs w:val="28"/>
        </w:rPr>
        <w:t>日</w:t>
      </w:r>
      <w:r>
        <w:rPr>
          <w:rFonts w:hint="eastAsia" w:ascii="方正仿宋_GBK" w:hAnsi="方正仿宋_GBK" w:eastAsia="方正仿宋_GBK" w:cs="方正仿宋_GBK"/>
          <w:sz w:val="28"/>
          <w:szCs w:val="28"/>
        </w:rPr>
        <w:t>印发</w:t>
      </w:r>
    </w:p>
    <w:p>
      <w:pPr>
        <w:spacing w:line="20" w:lineRule="exact"/>
        <w:rPr>
          <w:rFonts w:hint="default" w:eastAsia="方正仿宋_GBK"/>
          <w:sz w:val="32"/>
          <w:szCs w:val="20"/>
          <w:lang w:val="en-US" w:eastAsia="zh-CN"/>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00"/>
    <w:family w:val="swiss"/>
    <w:pitch w:val="default"/>
    <w:sig w:usb0="00000000" w:usb1="00000000" w:usb2="0000003F" w:usb3="00000000" w:csb0="003F01FF"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BF9E2"/>
    <w:multiLevelType w:val="singleLevel"/>
    <w:tmpl w:val="9BABF9E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6FB34C45"/>
    <w:rsid w:val="00284BE2"/>
    <w:rsid w:val="04C33B77"/>
    <w:rsid w:val="0613341B"/>
    <w:rsid w:val="082F563C"/>
    <w:rsid w:val="099D00A0"/>
    <w:rsid w:val="11A50F1C"/>
    <w:rsid w:val="12EE7812"/>
    <w:rsid w:val="180E1DD2"/>
    <w:rsid w:val="18E112BF"/>
    <w:rsid w:val="1B100C92"/>
    <w:rsid w:val="1B2331FC"/>
    <w:rsid w:val="1DD37281"/>
    <w:rsid w:val="1E9E2C31"/>
    <w:rsid w:val="22B34CBE"/>
    <w:rsid w:val="27EB7BBB"/>
    <w:rsid w:val="2B798EBA"/>
    <w:rsid w:val="2E630C04"/>
    <w:rsid w:val="2EFE8B42"/>
    <w:rsid w:val="2FFA5CED"/>
    <w:rsid w:val="2FFEDEFA"/>
    <w:rsid w:val="31E76B2D"/>
    <w:rsid w:val="377BFD68"/>
    <w:rsid w:val="37CA583A"/>
    <w:rsid w:val="3B2C82C7"/>
    <w:rsid w:val="3D937778"/>
    <w:rsid w:val="3EBF0936"/>
    <w:rsid w:val="3F3766AE"/>
    <w:rsid w:val="3FAB122E"/>
    <w:rsid w:val="3FDBFD8A"/>
    <w:rsid w:val="3FFB292E"/>
    <w:rsid w:val="40413E4D"/>
    <w:rsid w:val="436241A2"/>
    <w:rsid w:val="45530CDB"/>
    <w:rsid w:val="497D4DF9"/>
    <w:rsid w:val="4C336012"/>
    <w:rsid w:val="4DFF1127"/>
    <w:rsid w:val="502A0C25"/>
    <w:rsid w:val="50682CE7"/>
    <w:rsid w:val="53370983"/>
    <w:rsid w:val="537FF291"/>
    <w:rsid w:val="5BB7FC58"/>
    <w:rsid w:val="5F3DA26C"/>
    <w:rsid w:val="625D05A7"/>
    <w:rsid w:val="65E3247A"/>
    <w:rsid w:val="65FDB780"/>
    <w:rsid w:val="67CA449D"/>
    <w:rsid w:val="69F60ACD"/>
    <w:rsid w:val="6BEE400D"/>
    <w:rsid w:val="6BFF4CD3"/>
    <w:rsid w:val="6FA50F45"/>
    <w:rsid w:val="6FB34C45"/>
    <w:rsid w:val="6FFB8FFD"/>
    <w:rsid w:val="6FFCC203"/>
    <w:rsid w:val="73B98383"/>
    <w:rsid w:val="75EE374A"/>
    <w:rsid w:val="777E4DDA"/>
    <w:rsid w:val="77A10D02"/>
    <w:rsid w:val="77FA3905"/>
    <w:rsid w:val="78910B81"/>
    <w:rsid w:val="7B5C9401"/>
    <w:rsid w:val="7BFDA165"/>
    <w:rsid w:val="7C7E9A3D"/>
    <w:rsid w:val="7CFBD0EA"/>
    <w:rsid w:val="7D7B6CF0"/>
    <w:rsid w:val="7DDD9C34"/>
    <w:rsid w:val="7DF45006"/>
    <w:rsid w:val="7DFBC020"/>
    <w:rsid w:val="7EF71E7C"/>
    <w:rsid w:val="7EF76C94"/>
    <w:rsid w:val="7EF8FB09"/>
    <w:rsid w:val="7EFF69B7"/>
    <w:rsid w:val="7F3CE4FF"/>
    <w:rsid w:val="7F3E5B8D"/>
    <w:rsid w:val="7F7FCDD4"/>
    <w:rsid w:val="7FD771F8"/>
    <w:rsid w:val="7FEB2181"/>
    <w:rsid w:val="7FED6B0F"/>
    <w:rsid w:val="7FFB2FF7"/>
    <w:rsid w:val="7FFDEA04"/>
    <w:rsid w:val="7FFE1652"/>
    <w:rsid w:val="7FFF16D5"/>
    <w:rsid w:val="7FFF309A"/>
    <w:rsid w:val="8EFF2F49"/>
    <w:rsid w:val="8F77D505"/>
    <w:rsid w:val="9FBEA76A"/>
    <w:rsid w:val="A696B7C5"/>
    <w:rsid w:val="AB5FDA97"/>
    <w:rsid w:val="ADEE716F"/>
    <w:rsid w:val="AF667141"/>
    <w:rsid w:val="AFDFB3FE"/>
    <w:rsid w:val="B23FF0D0"/>
    <w:rsid w:val="B5DD5FB9"/>
    <w:rsid w:val="BFAF4646"/>
    <w:rsid w:val="BFFB2CAD"/>
    <w:rsid w:val="CF7B75B5"/>
    <w:rsid w:val="CF7D1D80"/>
    <w:rsid w:val="D55D8E0E"/>
    <w:rsid w:val="D75FF036"/>
    <w:rsid w:val="D7FBFD4A"/>
    <w:rsid w:val="DDFC0157"/>
    <w:rsid w:val="DF7EE185"/>
    <w:rsid w:val="EDEE9833"/>
    <w:rsid w:val="EEF71989"/>
    <w:rsid w:val="EFFD9061"/>
    <w:rsid w:val="F3EFAD60"/>
    <w:rsid w:val="F5EF19B6"/>
    <w:rsid w:val="F5EF8EDD"/>
    <w:rsid w:val="F6DF3081"/>
    <w:rsid w:val="F761B3F7"/>
    <w:rsid w:val="F7ABE1ED"/>
    <w:rsid w:val="F7EED73C"/>
    <w:rsid w:val="F9DB6DBC"/>
    <w:rsid w:val="FAFF1543"/>
    <w:rsid w:val="FCD66430"/>
    <w:rsid w:val="FD669ACC"/>
    <w:rsid w:val="FD7EF3D4"/>
    <w:rsid w:val="FEFE4150"/>
    <w:rsid w:val="FF2D01F0"/>
    <w:rsid w:val="FF3F43BE"/>
    <w:rsid w:val="FF5F59AC"/>
    <w:rsid w:val="FF7EFD23"/>
    <w:rsid w:val="FFBA2BCE"/>
    <w:rsid w:val="FFC58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2">
    <w:name w:val="heading 1"/>
    <w:basedOn w:val="1"/>
    <w:next w:val="1"/>
    <w:qFormat/>
    <w:uiPriority w:val="0"/>
    <w:pPr>
      <w:keepNext/>
      <w:keepLines/>
      <w:spacing w:line="576" w:lineRule="auto"/>
      <w:outlineLvl w:val="0"/>
    </w:pPr>
    <w:rPr>
      <w:rFonts w:eastAsia="仿宋_GB2312"/>
      <w:b/>
      <w:bCs/>
      <w:kern w:val="44"/>
      <w:sz w:val="44"/>
      <w:szCs w:val="44"/>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rPr>
      <w:rFonts w:ascii="Calibri" w:hAnsi="Calibri" w:cs="Calibri"/>
      <w:szCs w:val="21"/>
    </w:rPr>
  </w:style>
  <w:style w:type="paragraph" w:styleId="6">
    <w:name w:val="Body Text"/>
    <w:basedOn w:val="1"/>
    <w:next w:val="7"/>
    <w:qFormat/>
    <w:uiPriority w:val="0"/>
    <w:rPr>
      <w:rFonts w:ascii="方正仿宋_GBK" w:hAnsi="方正仿宋_GBK" w:cs="方正仿宋_GBK"/>
      <w:sz w:val="32"/>
      <w:szCs w:val="32"/>
      <w:lang w:val="zh-CN" w:bidi="zh-CN"/>
    </w:rPr>
  </w:style>
  <w:style w:type="paragraph" w:styleId="7">
    <w:name w:val="toc 5"/>
    <w:basedOn w:val="1"/>
    <w:next w:val="1"/>
    <w:qFormat/>
    <w:uiPriority w:val="0"/>
    <w:pPr>
      <w:widowControl w:val="0"/>
      <w:ind w:left="1680" w:leftChars="800"/>
      <w:jc w:val="both"/>
    </w:pPr>
    <w:rPr>
      <w:rFonts w:ascii="Times New Roman" w:hAnsi="Times New Roman" w:eastAsia="方正仿宋_GBK" w:cs="Times New Roman"/>
      <w:kern w:val="2"/>
      <w:sz w:val="33"/>
      <w:szCs w:val="33"/>
      <w:lang w:val="en-US" w:eastAsia="zh-CN" w:bidi="ar-SA"/>
    </w:rPr>
  </w:style>
  <w:style w:type="paragraph" w:styleId="8">
    <w:name w:val="Body Text Indent"/>
    <w:basedOn w:val="1"/>
    <w:qFormat/>
    <w:uiPriority w:val="0"/>
    <w:pPr>
      <w:ind w:firstLine="640" w:firstLineChars="200"/>
    </w:pPr>
    <w:rPr>
      <w:rFonts w:ascii="仿宋_GB2312" w:eastAsia="仿宋_GB2312"/>
      <w:sz w:val="32"/>
    </w:rPr>
  </w:style>
  <w:style w:type="paragraph" w:styleId="9">
    <w:name w:val="footer"/>
    <w:basedOn w:val="1"/>
    <w:next w:val="10"/>
    <w:qFormat/>
    <w:uiPriority w:val="99"/>
    <w:pPr>
      <w:tabs>
        <w:tab w:val="center" w:pos="4153"/>
        <w:tab w:val="right" w:pos="8306"/>
      </w:tabs>
      <w:snapToGrid w:val="0"/>
      <w:jc w:val="left"/>
    </w:pPr>
    <w:rPr>
      <w:sz w:val="18"/>
    </w:rPr>
  </w:style>
  <w:style w:type="paragraph" w:customStyle="1" w:styleId="10">
    <w:name w:val="索引 51"/>
    <w:next w:val="1"/>
    <w:qFormat/>
    <w:uiPriority w:val="0"/>
    <w:pPr>
      <w:widowControl w:val="0"/>
      <w:ind w:left="1680"/>
      <w:jc w:val="both"/>
    </w:pPr>
    <w:rPr>
      <w:rFonts w:ascii="Times New Roman" w:hAnsi="Times New Roman" w:eastAsia="方正仿宋_GBK" w:cs="Times New Roman"/>
      <w:kern w:val="2"/>
      <w:sz w:val="32"/>
      <w:szCs w:val="22"/>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Title"/>
    <w:basedOn w:val="1"/>
    <w:next w:val="1"/>
    <w:qFormat/>
    <w:uiPriority w:val="0"/>
    <w:pPr>
      <w:jc w:val="center"/>
      <w:outlineLvl w:val="0"/>
    </w:pPr>
    <w:rPr>
      <w:rFonts w:ascii="Arial" w:hAnsi="Arial" w:eastAsia="方正仿宋_GBK" w:cs="Times New Roman"/>
      <w:b/>
      <w:sz w:val="32"/>
      <w:szCs w:val="22"/>
    </w:rPr>
  </w:style>
  <w:style w:type="paragraph" w:styleId="14">
    <w:name w:val="Body Text First Indent"/>
    <w:basedOn w:val="6"/>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5">
    <w:name w:val="Body Text First Indent 2"/>
    <w:qFormat/>
    <w:uiPriority w:val="0"/>
    <w:pPr>
      <w:widowControl w:val="0"/>
      <w:spacing w:after="120"/>
      <w:ind w:left="420" w:leftChars="200" w:firstLine="420" w:firstLineChars="200"/>
      <w:jc w:val="both"/>
    </w:pPr>
    <w:rPr>
      <w:rFonts w:ascii="Times" w:hAnsi="Times" w:eastAsia="仿宋" w:cs="Times New Roman"/>
      <w:kern w:val="2"/>
      <w:sz w:val="28"/>
      <w:szCs w:val="24"/>
      <w:lang w:val="en-US" w:eastAsia="zh-CN" w:bidi="ar-SA"/>
    </w:rPr>
  </w:style>
  <w:style w:type="character" w:styleId="18">
    <w:name w:val="Strong"/>
    <w:basedOn w:val="17"/>
    <w:qFormat/>
    <w:uiPriority w:val="0"/>
    <w:rPr>
      <w:b/>
    </w:rPr>
  </w:style>
  <w:style w:type="character" w:styleId="19">
    <w:name w:val="page number"/>
    <w:qFormat/>
    <w:uiPriority w:val="0"/>
  </w:style>
  <w:style w:type="paragraph" w:styleId="20">
    <w:name w:val="List Paragraph"/>
    <w:basedOn w:val="1"/>
    <w:qFormat/>
    <w:uiPriority w:val="34"/>
    <w:pPr>
      <w:ind w:firstLine="420" w:firstLineChars="200"/>
    </w:pPr>
  </w:style>
  <w:style w:type="paragraph" w:customStyle="1" w:styleId="21">
    <w:name w:val="PlainText"/>
    <w:basedOn w:val="1"/>
    <w:qFormat/>
    <w:uiPriority w:val="0"/>
    <w:pPr>
      <w:textAlignment w:val="baseline"/>
    </w:pPr>
    <w:rPr>
      <w:rFonts w:ascii="宋体" w:hAnsi="Courier New" w:eastAsia="方正仿宋_GBK"/>
      <w:sz w:val="32"/>
      <w:szCs w:val="21"/>
    </w:rPr>
  </w:style>
  <w:style w:type="paragraph" w:customStyle="1" w:styleId="22">
    <w:name w:val="默认"/>
    <w:unhideWhenUsed/>
    <w:qFormat/>
    <w:uiPriority w:val="99"/>
    <w:rPr>
      <w:rFonts w:hint="eastAsia" w:ascii="Arial Unicode MS" w:hAnsi="Calibri" w:eastAsia="Arial Unicode MS" w:cs="Times New Roman"/>
      <w:color w:val="000000"/>
      <w:sz w:val="22"/>
      <w:szCs w:val="24"/>
      <w:lang w:val="zh-CN"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41"/>
    <w:basedOn w:val="17"/>
    <w:qFormat/>
    <w:uiPriority w:val="0"/>
    <w:rPr>
      <w:rFonts w:hint="eastAsia" w:ascii="方正仿宋_GBK" w:hAnsi="方正仿宋_GBK" w:eastAsia="方正仿宋_GBK" w:cs="方正仿宋_GBK"/>
      <w:color w:val="000000"/>
      <w:sz w:val="28"/>
      <w:szCs w:val="28"/>
      <w:u w:val="none"/>
    </w:rPr>
  </w:style>
  <w:style w:type="character" w:customStyle="1" w:styleId="26">
    <w:name w:val="font31"/>
    <w:basedOn w:val="17"/>
    <w:qFormat/>
    <w:uiPriority w:val="0"/>
    <w:rPr>
      <w:rFonts w:hint="default" w:ascii="Times New Roman" w:hAnsi="Times New Roman" w:cs="Times New Roman"/>
      <w:color w:val="000000"/>
      <w:sz w:val="28"/>
      <w:szCs w:val="28"/>
      <w:u w:val="none"/>
    </w:rPr>
  </w:style>
  <w:style w:type="character" w:customStyle="1" w:styleId="27">
    <w:name w:val="font61"/>
    <w:basedOn w:val="17"/>
    <w:qFormat/>
    <w:uiPriority w:val="0"/>
    <w:rPr>
      <w:rFonts w:hint="eastAsia" w:ascii="宋体" w:hAnsi="宋体" w:eastAsia="宋体" w:cs="宋体"/>
      <w:color w:val="000000"/>
      <w:sz w:val="22"/>
      <w:szCs w:val="22"/>
      <w:u w:val="none"/>
    </w:rPr>
  </w:style>
  <w:style w:type="character" w:customStyle="1" w:styleId="28">
    <w:name w:val="font81"/>
    <w:basedOn w:val="17"/>
    <w:qFormat/>
    <w:uiPriority w:val="0"/>
    <w:rPr>
      <w:rFonts w:hint="eastAsia" w:ascii="宋体" w:hAnsi="宋体" w:eastAsia="宋体" w:cs="宋体"/>
      <w:b/>
      <w:bCs/>
      <w:color w:val="000000"/>
      <w:sz w:val="22"/>
      <w:szCs w:val="22"/>
      <w:u w:val="none"/>
    </w:rPr>
  </w:style>
  <w:style w:type="character" w:customStyle="1" w:styleId="29">
    <w:name w:val="font91"/>
    <w:basedOn w:val="17"/>
    <w:qFormat/>
    <w:uiPriority w:val="0"/>
    <w:rPr>
      <w:rFonts w:hint="eastAsia" w:ascii="宋体" w:hAnsi="宋体" w:eastAsia="宋体" w:cs="宋体"/>
      <w:color w:val="000000"/>
      <w:sz w:val="24"/>
      <w:szCs w:val="24"/>
      <w:u w:val="none"/>
    </w:rPr>
  </w:style>
  <w:style w:type="character" w:customStyle="1" w:styleId="30">
    <w:name w:val="font101"/>
    <w:basedOn w:val="1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2022-01-28T06:31:00Z</dcterms:created>
  <dc:creator>正安街道</dc:creator>
  <cp:lastModifiedBy>冉浩田</cp:lastModifiedBy>
  <cp:lastPrinted>2022-01-28T08:02:00Z</cp:lastPrinted>
  <dcterms:modified xsi:type="dcterms:W3CDTF">2026-03-12T04:01:12Z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AC928D016BCB4198990627E251FA9720</vt:lpwstr>
  </property>
</Properties>
</file>