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pPr w:leftFromText="181" w:rightFromText="181" w:horzAnchor="margin" w:tblpXSpec="center" w:tblpYSpec="top"/>
        <w:tblW w:w="8833" w:type="dxa"/>
        <w:jc w:val="center"/>
        <w:tblLayout w:type="autofit"/>
        <w:tblCellMar>
          <w:top w:w="0" w:type="dxa"/>
          <w:left w:w="108" w:type="dxa"/>
          <w:bottom w:w="0" w:type="dxa"/>
          <w:right w:w="108" w:type="dxa"/>
        </w:tblCellMar>
      </w:tblPr>
      <w:tblGrid>
        <w:gridCol w:w="8833"/>
      </w:tblGrid>
      <w:tr>
        <w:tblPrEx>
          <w:tblCellMar>
            <w:top w:w="0" w:type="dxa"/>
            <w:left w:w="108" w:type="dxa"/>
            <w:bottom w:w="0" w:type="dxa"/>
            <w:right w:w="108" w:type="dxa"/>
          </w:tblCellMar>
        </w:tblPrEx>
        <w:trPr>
          <w:trHeight w:val="600" w:hRule="atLeast"/>
          <w:jc w:val="center"/>
        </w:trPr>
        <w:tc>
          <w:tcPr>
            <w:tcW w:w="8833" w:type="dxa"/>
          </w:tcPr>
          <w:p>
            <w:pPr>
              <w:spacing w:line="600" w:lineRule="exact"/>
              <w:rPr>
                <w:rFonts w:hint="default" w:ascii="Times New Roman" w:hAnsi="Times New Roman" w:cs="Times New Roman"/>
                <w:szCs w:val="32"/>
              </w:rPr>
            </w:pPr>
          </w:p>
        </w:tc>
      </w:tr>
      <w:tr>
        <w:tblPrEx>
          <w:tblCellMar>
            <w:top w:w="0" w:type="dxa"/>
            <w:left w:w="108" w:type="dxa"/>
            <w:bottom w:w="0" w:type="dxa"/>
            <w:right w:w="108" w:type="dxa"/>
          </w:tblCellMar>
        </w:tblPrEx>
        <w:trPr>
          <w:trHeight w:val="600" w:hRule="atLeast"/>
          <w:jc w:val="center"/>
        </w:trPr>
        <w:tc>
          <w:tcPr>
            <w:tcW w:w="8833" w:type="dxa"/>
          </w:tcPr>
          <w:p>
            <w:pPr>
              <w:spacing w:line="600" w:lineRule="exact"/>
              <w:rPr>
                <w:rFonts w:hint="default" w:ascii="Times New Roman" w:hAnsi="Times New Roman" w:eastAsia="方正黑体_GBK" w:cs="Times New Roman"/>
                <w:szCs w:val="32"/>
              </w:rPr>
            </w:pPr>
          </w:p>
        </w:tc>
      </w:tr>
      <w:tr>
        <w:tblPrEx>
          <w:tblCellMar>
            <w:top w:w="0" w:type="dxa"/>
            <w:left w:w="108" w:type="dxa"/>
            <w:bottom w:w="0" w:type="dxa"/>
            <w:right w:w="108" w:type="dxa"/>
          </w:tblCellMar>
        </w:tblPrEx>
        <w:trPr>
          <w:trHeight w:val="851" w:hRule="exact"/>
          <w:jc w:val="center"/>
        </w:trPr>
        <w:tc>
          <w:tcPr>
            <w:tcW w:w="8833" w:type="dxa"/>
            <w:vAlign w:val="center"/>
          </w:tcPr>
          <w:p>
            <w:pPr>
              <w:jc w:val="center"/>
              <w:rPr>
                <w:rFonts w:hint="default" w:ascii="Times New Roman" w:hAnsi="Times New Roman" w:eastAsia="方正小标宋简体" w:cs="Times New Roman"/>
                <w:color w:val="FF0000"/>
                <w:w w:val="80"/>
              </w:rPr>
            </w:pPr>
          </w:p>
        </w:tc>
      </w:tr>
      <w:tr>
        <w:tblPrEx>
          <w:tblCellMar>
            <w:top w:w="0" w:type="dxa"/>
            <w:left w:w="108" w:type="dxa"/>
            <w:bottom w:w="0" w:type="dxa"/>
            <w:right w:w="108" w:type="dxa"/>
          </w:tblCellMar>
        </w:tblPrEx>
        <w:trPr>
          <w:trHeight w:val="2495" w:hRule="exact"/>
          <w:jc w:val="center"/>
        </w:trPr>
        <w:tc>
          <w:tcPr>
            <w:tcW w:w="8833" w:type="dxa"/>
            <w:vAlign w:val="center"/>
          </w:tcPr>
          <w:tbl>
            <w:tblPr>
              <w:tblStyle w:val="16"/>
              <w:tblpPr w:leftFromText="181" w:rightFromText="181" w:horzAnchor="margin" w:tblpXSpec="center" w:tblpYSpec="top"/>
              <w:tblW w:w="0" w:type="auto"/>
              <w:jc w:val="center"/>
              <w:tblLayout w:type="autofit"/>
              <w:tblCellMar>
                <w:top w:w="0" w:type="dxa"/>
                <w:left w:w="108" w:type="dxa"/>
                <w:bottom w:w="0" w:type="dxa"/>
                <w:right w:w="108" w:type="dxa"/>
              </w:tblCellMar>
            </w:tblPr>
            <w:tblGrid>
              <w:gridCol w:w="8617"/>
            </w:tblGrid>
            <w:tr>
              <w:tblPrEx>
                <w:tblCellMar>
                  <w:top w:w="0" w:type="dxa"/>
                  <w:left w:w="108" w:type="dxa"/>
                  <w:bottom w:w="0" w:type="dxa"/>
                  <w:right w:w="108" w:type="dxa"/>
                </w:tblCellMar>
              </w:tblPrEx>
              <w:trPr>
                <w:trHeight w:val="2495" w:hRule="exact"/>
                <w:jc w:val="center"/>
              </w:trPr>
              <w:tc>
                <w:tcPr>
                  <w:tcW w:w="8833" w:type="dxa"/>
                  <w:tcBorders>
                    <w:top w:val="nil"/>
                    <w:left w:val="nil"/>
                    <w:bottom w:val="nil"/>
                    <w:right w:val="nil"/>
                  </w:tcBorders>
                  <w:vAlign w:val="center"/>
                </w:tcPr>
                <w:p>
                  <w:pPr>
                    <w:jc w:val="center"/>
                    <w:rPr>
                      <w:rFonts w:hint="default" w:ascii="Times New Roman" w:hAnsi="Times New Roman" w:eastAsia="方正小标宋_GBK" w:cs="Times New Roman"/>
                      <w:b/>
                      <w:color w:val="FF3300"/>
                      <w:spacing w:val="32"/>
                      <w:w w:val="58"/>
                      <w:sz w:val="100"/>
                      <w:szCs w:val="88"/>
                    </w:rPr>
                  </w:pPr>
                  <w:r>
                    <w:rPr>
                      <w:rFonts w:hint="default" w:ascii="Times New Roman" w:hAnsi="Times New Roman" w:eastAsia="方正小标宋_GBK" w:cs="Times New Roman"/>
                      <w:b/>
                      <w:color w:val="FF3300"/>
                      <w:spacing w:val="20"/>
                      <w:w w:val="58"/>
                      <w:sz w:val="100"/>
                      <w:szCs w:val="88"/>
                    </w:rPr>
                    <w:t>重庆市开州区和谦镇人民政府</w:t>
                  </w:r>
                </w:p>
              </w:tc>
            </w:tr>
          </w:tbl>
          <w:p>
            <w:pPr>
              <w:jc w:val="center"/>
              <w:rPr>
                <w:rFonts w:hint="default" w:ascii="Times New Roman" w:hAnsi="Times New Roman" w:eastAsia="方正小标宋_GBK" w:cs="Times New Roman"/>
                <w:b/>
                <w:color w:val="FF3300"/>
                <w:spacing w:val="60"/>
                <w:w w:val="50"/>
                <w:sz w:val="124"/>
                <w:szCs w:val="124"/>
              </w:rPr>
            </w:pPr>
          </w:p>
        </w:tc>
      </w:tr>
      <w:tr>
        <w:tblPrEx>
          <w:tblCellMar>
            <w:top w:w="0" w:type="dxa"/>
            <w:left w:w="108" w:type="dxa"/>
            <w:bottom w:w="0" w:type="dxa"/>
            <w:right w:w="108" w:type="dxa"/>
          </w:tblCellMar>
        </w:tblPrEx>
        <w:trPr>
          <w:trHeight w:val="1361" w:hRule="exact"/>
          <w:jc w:val="center"/>
        </w:trPr>
        <w:tc>
          <w:tcPr>
            <w:tcW w:w="8833" w:type="dxa"/>
            <w:noWrap/>
            <w:vAlign w:val="bottom"/>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开州和府发〔202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eastAsia="仿宋_GB2312" w:cs="Times New Roman"/>
                <w:sz w:val="32"/>
                <w:szCs w:val="32"/>
                <w:lang w:eastAsia="zh-CN"/>
              </w:rPr>
              <w:t>20</w:t>
            </w:r>
            <w:r>
              <w:rPr>
                <w:rFonts w:hint="default" w:ascii="Times New Roman" w:hAnsi="Times New Roman" w:eastAsia="仿宋_GB2312" w:cs="Times New Roman"/>
                <w:sz w:val="32"/>
                <w:szCs w:val="32"/>
              </w:rPr>
              <w:t>号</w:t>
            </w:r>
          </w:p>
          <w:p>
            <w:pPr>
              <w:spacing w:line="540" w:lineRule="exact"/>
              <w:rPr>
                <w:rFonts w:hint="default" w:ascii="Times New Roman" w:hAnsi="Times New Roman" w:cs="Times New Roman"/>
                <w:color w:val="FF3300"/>
                <w:sz w:val="52"/>
                <w:szCs w:val="5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127635</wp:posOffset>
                      </wp:positionH>
                      <wp:positionV relativeFrom="paragraph">
                        <wp:posOffset>138430</wp:posOffset>
                      </wp:positionV>
                      <wp:extent cx="2536190" cy="0"/>
                      <wp:effectExtent l="0" t="0" r="0" b="0"/>
                      <wp:wrapNone/>
                      <wp:docPr id="2" name="直线 2"/>
                      <wp:cNvGraphicFramePr/>
                      <a:graphic xmlns:a="http://schemas.openxmlformats.org/drawingml/2006/main">
                        <a:graphicData uri="http://schemas.microsoft.com/office/word/2010/wordprocessingShape">
                          <wps:wsp>
                            <wps:cNvCnPr/>
                            <wps:spPr>
                              <a:xfrm>
                                <a:off x="0" y="0"/>
                                <a:ext cx="253619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0.05pt;margin-top:10.9pt;height:0pt;width:199.7pt;z-index:251659264;mso-width-relative:page;mso-height-relative:page;" filled="f" stroked="t" coordsize="21600,21600" o:gfxdata="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RYvPK&#10;1QAAAAgBAAAPAAAAAAAAAAEAIAAAACIAAABkcnMvZG93bnJldi54bWxQSwECFAAUAAAACACHTuJA&#10;kE/72OsBAADcAwAADgAAAAAAAAABACAAAAAkAQAAZHJzL2Uyb0RvYy54bWxQSwUGAAAAAAYABgBZ&#10;AQAAgQUAAAAA&#10;">
                      <v:fill on="f" focussize="0,0"/>
                      <v:stroke weight="2.25pt" color="#FF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2661285</wp:posOffset>
                      </wp:positionH>
                      <wp:positionV relativeFrom="paragraph">
                        <wp:posOffset>138430</wp:posOffset>
                      </wp:positionV>
                      <wp:extent cx="2598420" cy="0"/>
                      <wp:effectExtent l="0" t="0" r="0" b="0"/>
                      <wp:wrapNone/>
                      <wp:docPr id="3" name="直线 3"/>
                      <wp:cNvGraphicFramePr/>
                      <a:graphic xmlns:a="http://schemas.openxmlformats.org/drawingml/2006/main">
                        <a:graphicData uri="http://schemas.microsoft.com/office/word/2010/wordprocessingShape">
                          <wps:wsp>
                            <wps:cNvCnPr/>
                            <wps:spPr>
                              <a:xfrm>
                                <a:off x="0" y="0"/>
                                <a:ext cx="259842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09.55pt;margin-top:10.9pt;height:0pt;width:204.6pt;z-index:251660288;mso-width-relative:page;mso-height-relative:page;" filled="f" stroked="t" coordsize="21600,21600" o:gfxdata="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Tcj&#10;BNYAAAAJAQAADwAAAAAAAAABACAAAAAiAAAAZHJzL2Rvd25yZXYueG1sUEsBAhQAFAAAAAgAh07i&#10;QJXdJN/rAQAA3AMAAA4AAAAAAAAAAQAgAAAAJQEAAGRycy9lMm9Eb2MueG1sUEsFBgAAAAAGAAYA&#10;WQEAAIIFAAAAAA==&#10;">
                      <v:fill on="f" focussize="0,0"/>
                      <v:stroke weight="2.25pt" color="#FF0000" joinstyle="round"/>
                      <v:imagedata o:title=""/>
                      <o:lock v:ext="edit" aspectratio="f"/>
                    </v:line>
                  </w:pict>
                </mc:Fallback>
              </mc:AlternateContent>
            </w:r>
            <w:r>
              <w:rPr>
                <w:rFonts w:hint="default" w:ascii="Times New Roman" w:hAnsi="Times New Roman" w:cs="Times New Roman"/>
                <w:color w:val="FF3300"/>
                <w:sz w:val="52"/>
                <w:szCs w:val="52"/>
              </w:rPr>
              <w:t xml:space="preserve">                  </w:t>
            </w:r>
          </w:p>
        </w:tc>
      </w:tr>
    </w:tbl>
    <w:p>
      <w:pPr>
        <w:keepNext w:val="0"/>
        <w:keepLines w:val="0"/>
        <w:pageBreakBefore w:val="0"/>
        <w:kinsoku/>
        <w:wordWrap/>
        <w:overflowPunct/>
        <w:topLinePunct w:val="0"/>
        <w:autoSpaceDE/>
        <w:autoSpaceDN/>
        <w:bidi w:val="0"/>
        <w:snapToGrid/>
        <w:spacing w:beforeAutospacing="0" w:afterAutospacing="0" w:line="594" w:lineRule="exact"/>
        <w:ind w:left="0" w:lef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w:t>
      </w:r>
      <w:r>
        <w:rPr>
          <w:rFonts w:hint="default" w:ascii="Times New Roman" w:hAnsi="Times New Roman" w:eastAsia="方正小标宋_GBK" w:cs="Times New Roman"/>
          <w:color w:val="000000"/>
          <w:sz w:val="44"/>
          <w:szCs w:val="44"/>
          <w:shd w:val="clear" w:color="auto" w:fill="FFFFFF"/>
        </w:rPr>
        <w:t>开州区和谦镇</w:t>
      </w:r>
      <w:r>
        <w:rPr>
          <w:rFonts w:hint="default" w:ascii="Times New Roman" w:hAnsi="Times New Roman" w:eastAsia="方正小标宋_GBK" w:cs="Times New Roman"/>
          <w:sz w:val="44"/>
          <w:szCs w:val="44"/>
        </w:rPr>
        <w:t>人民政府</w:t>
      </w:r>
    </w:p>
    <w:p>
      <w:pPr>
        <w:pStyle w:val="5"/>
        <w:spacing w:line="620" w:lineRule="exact"/>
        <w:ind w:firstLine="0" w:firstLineChars="0"/>
        <w:jc w:val="center"/>
        <w:rPr>
          <w:rFonts w:hint="eastAsia" w:ascii="Times New Roman" w:hAnsi="Times New Roman" w:eastAsia="方正小标宋_GBK" w:cs="Times New Roman"/>
          <w:szCs w:val="32"/>
          <w:highlight w:val="none"/>
          <w:lang w:eastAsia="zh-CN"/>
        </w:rPr>
      </w:pPr>
      <w:r>
        <w:rPr>
          <w:rFonts w:hint="eastAsia" w:ascii="Times New Roman" w:hAnsi="Times New Roman" w:eastAsia="方正小标宋_GBK" w:cs="Times New Roman"/>
          <w:color w:val="000000"/>
          <w:sz w:val="44"/>
          <w:szCs w:val="44"/>
          <w:highlight w:val="none"/>
          <w:lang w:eastAsia="zh-CN"/>
        </w:rPr>
        <w:t>关于重庆市开州区和谦镇产业发展服务中心</w:t>
      </w:r>
    </w:p>
    <w:p>
      <w:pPr>
        <w:jc w:val="center"/>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pStyle w:val="2"/>
        <w:rPr>
          <w:rFonts w:hint="default"/>
          <w:lang w:val="en-US" w:eastAsia="zh-CN"/>
        </w:rPr>
      </w:pP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w:t>
      </w:r>
      <w:r>
        <w:rPr>
          <w:rFonts w:hint="eastAsia" w:ascii="Times New Roman" w:hAnsi="Times New Roman" w:eastAsia="方正仿宋_GBK" w:cs="Times New Roman"/>
          <w:sz w:val="32"/>
          <w:szCs w:val="32"/>
          <w:highlight w:val="none"/>
          <w:lang w:eastAsia="zh-CN"/>
        </w:rPr>
        <w:t>和谦镇人民政府</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重庆市开州区和谦镇人民政府</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年部门预算的通知》（</w:t>
      </w:r>
      <w:r>
        <w:rPr>
          <w:rFonts w:hint="eastAsia" w:ascii="Times New Roman" w:hAnsi="Times New Roman" w:eastAsia="方正仿宋_GBK" w:cs="Times New Roman"/>
          <w:sz w:val="32"/>
          <w:szCs w:val="32"/>
          <w:highlight w:val="none"/>
          <w:lang w:eastAsia="zh-CN"/>
        </w:rPr>
        <w:t>和府发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号）</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eastAsia" w:ascii="Times New Roman" w:hAnsi="Times New Roman" w:eastAsia="方正仿宋_GBK" w:cs="Times New Roman"/>
          <w:sz w:val="32"/>
          <w:szCs w:val="32"/>
          <w:highlight w:val="none"/>
          <w:lang w:eastAsia="zh-CN"/>
        </w:rPr>
        <w:t>重庆市开州区和谦镇产业发展服务中心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预算批复情况公开如下：</w:t>
      </w: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bidi w:val="0"/>
        <w:snapToGrid w:val="0"/>
        <w:spacing w:line="594" w:lineRule="exact"/>
        <w:jc w:val="both"/>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基本情况</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收支总体情况</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预算情况说明</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pStyle w:val="2"/>
        <w:rPr>
          <w:rFonts w:hint="default"/>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预算公开报表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lang w:eastAsia="zh-CN"/>
        </w:rPr>
        <w:t>重庆市开州区和谦镇产业发展服务中心</w:t>
      </w:r>
      <w:r>
        <w:rPr>
          <w:rFonts w:hint="default" w:ascii="Times New Roman" w:hAnsi="Times New Roman" w:eastAsia="方正仿宋_GBK" w:cs="Times New Roman"/>
          <w:sz w:val="32"/>
          <w:szCs w:val="32"/>
          <w:highlight w:val="none"/>
        </w:rPr>
        <w:t>收支预算总表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lang w:eastAsia="zh-CN"/>
        </w:rPr>
        <w:t>重庆市开州区和谦镇产业发展服务中心</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lang w:eastAsia="zh-CN"/>
        </w:rPr>
        <w:t>重庆市开州区和谦镇产业发展服务中心</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lang w:eastAsia="zh-CN"/>
        </w:rPr>
        <w:t>重庆市开州区和谦镇产业发展服务中心</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lang w:eastAsia="zh-CN"/>
        </w:rPr>
        <w:t>重庆市开州区和谦镇产业发展服务中心</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lang w:eastAsia="zh-CN"/>
        </w:rPr>
        <w:t>重庆市开州区和谦镇产业发展服务中心</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lang w:eastAsia="zh-CN"/>
        </w:rPr>
        <w:t>重庆市开州区和谦镇产业发展服务中心</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lang w:eastAsia="zh-CN"/>
        </w:rPr>
        <w:t>重庆市开州区和谦镇产业发展服务中心</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lang w:eastAsia="zh-CN"/>
        </w:rPr>
        <w:t>重庆市开州区和谦镇产业发展服务中心</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lang w:eastAsia="zh-CN"/>
        </w:rPr>
        <w:t>重庆市开州区和谦镇产业发展服务中心</w:t>
      </w:r>
      <w:r>
        <w:rPr>
          <w:rFonts w:hint="default" w:ascii="Times New Roman" w:hAnsi="Times New Roman" w:eastAsia="方正仿宋_GBK" w:cs="Times New Roman"/>
          <w:sz w:val="32"/>
          <w:szCs w:val="32"/>
          <w:highlight w:val="none"/>
        </w:rPr>
        <w:t>项目支出表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keepNext w:val="0"/>
        <w:keepLines w:val="0"/>
        <w:pageBreakBefore w:val="0"/>
        <w:widowControl w:val="0"/>
        <w:kinsoku/>
        <w:wordWrap/>
        <w:overflowPunct/>
        <w:topLinePunct w:val="0"/>
        <w:bidi w:val="0"/>
        <w:snapToGrid w:val="0"/>
        <w:spacing w:line="594" w:lineRule="exact"/>
        <w:ind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基本情况</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wordWrap/>
        <w:overflowPunct/>
        <w:topLinePunct w:val="0"/>
        <w:autoSpaceDE w:val="0"/>
        <w:autoSpaceDN w:val="0"/>
        <w:bidi w:val="0"/>
        <w:adjustRightInd w:val="0"/>
        <w:snapToGrid w:val="0"/>
        <w:spacing w:line="594" w:lineRule="exact"/>
        <w:ind w:left="0" w:firstLine="640" w:firstLineChars="200"/>
        <w:jc w:val="both"/>
        <w:textAlignment w:val="auto"/>
        <w:rPr>
          <w:rFonts w:hint="default"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eastAsia="zh-CN"/>
        </w:rPr>
        <w:t>本单位主要职能职责：</w:t>
      </w:r>
      <w:r>
        <w:rPr>
          <w:rFonts w:hint="default" w:ascii="Times New Roman" w:hAnsi="Times New Roman" w:eastAsia="方正仿宋_GBK" w:cs="Times New Roman"/>
          <w:bCs/>
          <w:sz w:val="32"/>
          <w:szCs w:val="32"/>
        </w:rPr>
        <w:t>为产业发展提供服务保障。主要职责：对应承接经济发展办公室辅助性、事务性工作。负责为农业、工业、服务业等各类产业发展提供服务，承担与产业发展相适应的基础设施建设和配套服务业集聚融合相关工作；负责乡村振兴、产业融合发展、农林科技推广、水产、畜牧兽医、农产品质量安全、动植物疫病预防控制、林业资源和野生动植物保护、水资源管理和保护、水土保持、农田水利基本建设、河长制、林长制、农村饮水安全、移民后期扶持等领域的事务性工作。</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640" w:firstLine="0" w:firstLineChars="0"/>
        <w:jc w:val="left"/>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sz w:val="32"/>
          <w:highlight w:val="none"/>
        </w:rPr>
        <w:t>（二）单位构成</w:t>
      </w:r>
    </w:p>
    <w:p>
      <w:pPr>
        <w:keepNext w:val="0"/>
        <w:keepLines w:val="0"/>
        <w:pageBreakBefore w:val="0"/>
        <w:widowControl w:val="0"/>
        <w:kinsoku/>
        <w:wordWrap/>
        <w:overflowPunct/>
        <w:topLinePunct w:val="0"/>
        <w:bidi w:val="0"/>
        <w:snapToGrid w:val="0"/>
        <w:spacing w:line="594" w:lineRule="exact"/>
        <w:ind w:left="0" w:firstLine="640" w:firstLineChars="200"/>
        <w:jc w:val="both"/>
        <w:textAlignment w:val="auto"/>
        <w:rPr>
          <w:rFonts w:hint="default" w:ascii="Times New Roman" w:hAnsi="Times New Roman" w:eastAsia="方正仿宋_GBK" w:cs="Times New Roman"/>
          <w:b/>
          <w:bCs/>
          <w:sz w:val="32"/>
          <w:szCs w:val="32"/>
        </w:rPr>
      </w:pPr>
      <w:r>
        <w:rPr>
          <w:rFonts w:hint="eastAsia" w:ascii="Times New Roman" w:hAnsi="Times New Roman" w:eastAsia="方正仿宋_GBK" w:cs="Times New Roman"/>
          <w:sz w:val="32"/>
          <w:lang w:eastAsia="zh-CN"/>
        </w:rPr>
        <w:t>重庆市开州区和谦镇产业发展服务中心</w:t>
      </w:r>
      <w:r>
        <w:rPr>
          <w:rFonts w:hint="default" w:ascii="Times New Roman" w:hAnsi="Times New Roman" w:eastAsia="方正仿宋_GBK" w:cs="Times New Roman"/>
          <w:sz w:val="32"/>
        </w:rPr>
        <w:t>为二级预算单位，无下级预算单位。</w:t>
      </w: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widowControl w:val="0"/>
        <w:suppressLineNumbers w:val="0"/>
        <w:kinsoku/>
        <w:wordWrap/>
        <w:overflowPunct/>
        <w:topLinePunct w:val="0"/>
        <w:bidi w:val="0"/>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方正仿宋_GBK"/>
          <w:color w:val="auto"/>
          <w:kern w:val="0"/>
          <w:sz w:val="32"/>
          <w:szCs w:val="32"/>
          <w:lang w:val="en-US" w:eastAsia="zh-CN" w:bidi="ar-SA"/>
        </w:rPr>
        <w:t>256.06</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方正仿宋_GBK"/>
          <w:color w:val="auto"/>
          <w:kern w:val="0"/>
          <w:sz w:val="32"/>
          <w:szCs w:val="32"/>
          <w:lang w:val="en-US" w:eastAsia="zh-CN" w:bidi="ar-SA"/>
        </w:rPr>
        <w:t>256.06</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256.06</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w:t>
      </w:r>
      <w:r>
        <w:rPr>
          <w:rFonts w:hint="default" w:ascii="Times New Roman" w:hAnsi="Times New Roman" w:eastAsia="方正仿宋_GBK" w:cs="方正仿宋_GBK"/>
          <w:color w:val="auto"/>
          <w:kern w:val="0"/>
          <w:sz w:val="32"/>
          <w:szCs w:val="32"/>
          <w:lang w:val="en-US" w:eastAsia="zh-CN" w:bidi="ar-SA"/>
        </w:rPr>
        <w:t>因四舍五入原因，部分分项加和与总计可能略有差异。</w:t>
      </w:r>
    </w:p>
    <w:p>
      <w:pPr>
        <w:keepNext w:val="0"/>
        <w:keepLines w:val="0"/>
        <w:pageBreakBefore w:val="0"/>
        <w:widowControl w:val="0"/>
        <w:suppressLineNumbers w:val="0"/>
        <w:kinsoku/>
        <w:wordWrap/>
        <w:overflowPunct/>
        <w:topLinePunct w:val="0"/>
        <w:bidi w:val="0"/>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方正仿宋_GBK"/>
          <w:color w:val="auto"/>
          <w:kern w:val="0"/>
          <w:sz w:val="32"/>
          <w:szCs w:val="32"/>
          <w:lang w:val="en-US" w:eastAsia="zh-CN" w:bidi="ar-SA"/>
        </w:rPr>
        <w:t>256.06</w:t>
      </w:r>
      <w:r>
        <w:rPr>
          <w:rFonts w:hint="default" w:ascii="Times New Roman" w:hAnsi="Times New Roman" w:eastAsia="方正仿宋_GBK" w:cs="Times New Roman"/>
          <w:sz w:val="32"/>
          <w:highlight w:val="none"/>
        </w:rPr>
        <w:t>万元，其中：</w:t>
      </w:r>
      <w:r>
        <w:rPr>
          <w:rFonts w:hint="eastAsia" w:ascii="Times New Roman" w:hAnsi="Times New Roman" w:eastAsia="方正仿宋_GBK" w:cs="Times New Roman"/>
          <w:sz w:val="32"/>
          <w:highlight w:val="none"/>
        </w:rPr>
        <w:t>社会保障和就业支出</w:t>
      </w:r>
      <w:r>
        <w:rPr>
          <w:rFonts w:hint="eastAsia" w:ascii="Times New Roman" w:hAnsi="Times New Roman" w:eastAsia="方正仿宋_GBK" w:cs="Times New Roman"/>
          <w:sz w:val="32"/>
          <w:highlight w:val="none"/>
          <w:lang w:val="en-US" w:eastAsia="zh-CN"/>
        </w:rPr>
        <w:t>72.26</w:t>
      </w:r>
      <w:r>
        <w:rPr>
          <w:rFonts w:hint="eastAsia" w:ascii="Times New Roman" w:hAnsi="Times New Roman" w:eastAsia="方正仿宋_GBK" w:cs="Times New Roman"/>
          <w:sz w:val="32"/>
          <w:highlight w:val="none"/>
        </w:rPr>
        <w:t>万元，卫生健康支出</w:t>
      </w:r>
      <w:r>
        <w:rPr>
          <w:rFonts w:hint="eastAsia" w:ascii="Times New Roman" w:hAnsi="Times New Roman" w:eastAsia="方正仿宋_GBK" w:cs="Times New Roman"/>
          <w:sz w:val="32"/>
          <w:highlight w:val="none"/>
          <w:lang w:val="en-US" w:eastAsia="zh-CN"/>
        </w:rPr>
        <w:t>12.73</w:t>
      </w:r>
      <w:r>
        <w:rPr>
          <w:rFonts w:hint="eastAsia" w:ascii="Times New Roman" w:hAnsi="Times New Roman" w:eastAsia="方正仿宋_GBK" w:cs="Times New Roman"/>
          <w:sz w:val="32"/>
          <w:highlight w:val="none"/>
        </w:rPr>
        <w:t>万元，城乡社区支出</w:t>
      </w:r>
      <w:r>
        <w:rPr>
          <w:rFonts w:hint="eastAsia" w:ascii="Times New Roman" w:hAnsi="Times New Roman" w:eastAsia="方正仿宋_GBK" w:cs="Times New Roman"/>
          <w:sz w:val="32"/>
          <w:highlight w:val="none"/>
          <w:lang w:val="en-US" w:eastAsia="zh-CN"/>
        </w:rPr>
        <w:t>160.71万元，</w:t>
      </w:r>
      <w:r>
        <w:rPr>
          <w:rFonts w:hint="eastAsia" w:ascii="Times New Roman" w:hAnsi="Times New Roman" w:eastAsia="方正仿宋_GBK" w:cs="Times New Roman"/>
          <w:sz w:val="32"/>
          <w:highlight w:val="none"/>
        </w:rPr>
        <w:t>住房保障支出</w:t>
      </w:r>
      <w:r>
        <w:rPr>
          <w:rFonts w:hint="eastAsia" w:ascii="Times New Roman" w:hAnsi="Times New Roman" w:eastAsia="方正仿宋_GBK" w:cs="Times New Roman"/>
          <w:sz w:val="32"/>
          <w:highlight w:val="none"/>
          <w:lang w:val="en-US" w:eastAsia="zh-CN"/>
        </w:rPr>
        <w:t>10.36</w:t>
      </w:r>
      <w:r>
        <w:rPr>
          <w:rFonts w:hint="eastAsia"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rPr>
        <w:t>。支出预算较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256.06</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w:t>
      </w:r>
      <w:r>
        <w:rPr>
          <w:rFonts w:hint="default" w:ascii="Times New Roman" w:hAnsi="Times New Roman" w:eastAsia="方正仿宋_GBK" w:cs="方正仿宋_GBK"/>
          <w:color w:val="auto"/>
          <w:kern w:val="0"/>
          <w:sz w:val="32"/>
          <w:szCs w:val="32"/>
          <w:lang w:val="en-US" w:eastAsia="zh-CN" w:bidi="ar-SA"/>
        </w:rPr>
        <w:t>因四舍五入原因，部分分项加和与总计可能略有差异。</w:t>
      </w: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方正仿宋_GBK"/>
          <w:color w:val="auto"/>
          <w:kern w:val="0"/>
          <w:sz w:val="32"/>
          <w:szCs w:val="32"/>
          <w:lang w:val="en-US" w:eastAsia="zh-CN" w:bidi="ar-SA"/>
        </w:rPr>
        <w:t>256.06</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方正仿宋_GBK"/>
          <w:color w:val="auto"/>
          <w:kern w:val="0"/>
          <w:sz w:val="32"/>
          <w:szCs w:val="32"/>
          <w:lang w:val="en-US" w:eastAsia="zh-CN" w:bidi="ar-SA"/>
        </w:rPr>
        <w:t>256.06</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256.06</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方正仿宋_GBK"/>
          <w:color w:val="auto"/>
          <w:kern w:val="0"/>
          <w:sz w:val="32"/>
          <w:szCs w:val="32"/>
          <w:lang w:val="en-US" w:eastAsia="zh-CN" w:bidi="ar-SA"/>
        </w:rPr>
        <w:t>256.06</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256.06</w:t>
      </w:r>
      <w:r>
        <w:rPr>
          <w:rFonts w:hint="default" w:ascii="Times New Roman" w:hAnsi="Times New Roman" w:eastAsia="方正仿宋_GBK" w:cs="Times New Roman"/>
          <w:sz w:val="32"/>
          <w:highlight w:val="none"/>
        </w:rPr>
        <w:t>万元，主要原因</w:t>
      </w:r>
      <w:r>
        <w:rPr>
          <w:rFonts w:hint="eastAsia" w:ascii="Times New Roman" w:hAnsi="Times New Roman" w:eastAsia="方正仿宋_GBK" w:cs="Times New Roman"/>
          <w:sz w:val="32"/>
          <w:highlight w:val="none"/>
          <w:lang w:val="en-US" w:eastAsia="zh-CN"/>
        </w:rPr>
        <w:t>是</w:t>
      </w:r>
      <w:r>
        <w:rPr>
          <w:rFonts w:hint="eastAsia" w:ascii="Times New Roman" w:hAnsi="Times New Roman" w:eastAsia="方正仿宋_GBK" w:cs="Times New Roman"/>
          <w:sz w:val="32"/>
          <w:highlight w:val="none"/>
          <w:lang w:eastAsia="zh-CN"/>
        </w:rPr>
        <w:t>本年起进行独立核算</w:t>
      </w:r>
      <w:r>
        <w:rPr>
          <w:rFonts w:hint="default" w:ascii="Times New Roman" w:hAnsi="Times New Roman" w:eastAsia="方正仿宋_GBK" w:cs="Times New Roman"/>
          <w:sz w:val="32"/>
          <w:highlight w:val="none"/>
        </w:rPr>
        <w:t>，主要用于保障</w:t>
      </w:r>
      <w:r>
        <w:rPr>
          <w:rFonts w:hint="default" w:ascii="Times New Roman" w:hAnsi="Times New Roman" w:eastAsia="方正仿宋_GBK" w:cs="Times New Roman"/>
          <w:sz w:val="32"/>
        </w:rPr>
        <w:t>事业在职人员工资福利及社会保险缴费</w:t>
      </w:r>
      <w:r>
        <w:rPr>
          <w:rFonts w:hint="default" w:ascii="Times New Roman" w:hAnsi="Times New Roman" w:eastAsia="方正仿宋_GBK" w:cs="Times New Roman"/>
          <w:sz w:val="32"/>
          <w:highlight w:val="none"/>
        </w:rPr>
        <w:t>，保障</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highlight w:val="none"/>
        </w:rPr>
      </w:pPr>
      <w:r>
        <w:rPr>
          <w:rFonts w:hint="eastAsia" w:ascii="Times New Roman" w:hAnsi="Times New Roman" w:eastAsia="方正仿宋_GBK" w:cs="Times New Roman"/>
          <w:sz w:val="32"/>
          <w:highlight w:val="none"/>
          <w:lang w:eastAsia="zh-CN"/>
        </w:rPr>
        <w:t>重庆市开州区和谦镇产业发展服务中心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eastAsia="方正仿宋_GBK" w:cs="Times New Roman"/>
          <w:sz w:val="32"/>
          <w:highlight w:val="none"/>
          <w:lang w:eastAsia="zh-CN"/>
        </w:rPr>
        <w:t>。</w:t>
      </w: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overflowPunct/>
        <w:topLinePunct w:val="0"/>
        <w:bidi w:val="0"/>
        <w:snapToGrid w:val="0"/>
        <w:spacing w:line="594" w:lineRule="exact"/>
        <w:ind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万元；公务接待费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万元；公务用车运行维护费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b/>
          <w:sz w:val="32"/>
          <w:highlight w:val="none"/>
        </w:rPr>
        <w:t>机关运行经费。</w:t>
      </w:r>
      <w:r>
        <w:rPr>
          <w:rFonts w:eastAsia="方正仿宋_GBK"/>
          <w:sz w:val="32"/>
          <w:highlight w:val="none"/>
        </w:rPr>
        <w:t>我</w:t>
      </w:r>
      <w:r>
        <w:rPr>
          <w:rFonts w:hint="eastAsia" w:eastAsia="方正仿宋_GBK"/>
          <w:sz w:val="32"/>
          <w:highlight w:val="none"/>
          <w:lang w:eastAsia="zh-CN"/>
        </w:rPr>
        <w:t>单位</w:t>
      </w:r>
      <w:r>
        <w:rPr>
          <w:rFonts w:eastAsia="方正仿宋_GBK"/>
          <w:sz w:val="32"/>
          <w:highlight w:val="none"/>
        </w:rPr>
        <w:t>不在机关运行经费统计范围之内。</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default" w:ascii="Times New Roman" w:hAnsi="Times New Roman" w:eastAsia="方正仿宋_GBK" w:cs="Times New Roman"/>
          <w:sz w:val="32"/>
          <w:highlight w:val="none"/>
        </w:rPr>
        <w:t>所属各预算</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年12月，所属各预算</w:t>
      </w:r>
      <w:r>
        <w:rPr>
          <w:rFonts w:hint="eastAsia" w:ascii="Times New Roman" w:hAnsi="Times New Roman" w:eastAsia="方正仿宋_GBK" w:cs="Times New Roman"/>
          <w:color w:val="000000"/>
          <w:sz w:val="32"/>
          <w:highlight w:val="none"/>
          <w:lang w:eastAsia="zh-CN"/>
        </w:rPr>
        <w:t>单位</w:t>
      </w:r>
      <w:r>
        <w:rPr>
          <w:rFonts w:hint="default" w:ascii="Times New Roman" w:hAnsi="Times New Roman" w:eastAsia="方正仿宋_GBK" w:cs="Times New Roman"/>
          <w:color w:val="000000"/>
          <w:sz w:val="32"/>
          <w:highlight w:val="none"/>
        </w:rPr>
        <w:t>共有车辆 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（二）其他收入：</w:t>
      </w:r>
      <w:r>
        <w:rPr>
          <w:rFonts w:hint="default" w:ascii="Times New Roman" w:hAnsi="Times New Roman" w:eastAsia="方正仿宋_GBK" w:cs="Times New Roman"/>
          <w:sz w:val="32"/>
          <w:szCs w:val="32"/>
        </w:rPr>
        <w:t>指</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取得的除“财政拨款收入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经营收入”等以外的收入。</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（三）基本支出：</w:t>
      </w:r>
      <w:r>
        <w:rPr>
          <w:rFonts w:hint="default" w:ascii="Times New Roman" w:hAnsi="Times New Roman" w:eastAsia="方正仿宋_GBK" w:cs="Times New Roman"/>
          <w:sz w:val="32"/>
          <w:szCs w:val="32"/>
        </w:rPr>
        <w:t>指为保障机构正常运转、完成日常工作任务而发生的人员经费和公用经费。</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bidi w:val="0"/>
        <w:snapToGrid w:val="0"/>
        <w:spacing w:line="594" w:lineRule="exact"/>
        <w:ind w:left="0" w:firstLine="64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楷体_GBK" w:cs="Times New Roman"/>
          <w:sz w:val="32"/>
          <w:szCs w:val="32"/>
        </w:rPr>
        <w:t>（五）“三公”经费：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公务出国（境）的国际旅费、国外城市间交通费、住宿费、伙食费、培训费、公杂费等支出；公务用车购置费反映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公务用车购置支出（含车辆购置税）；公务用车运行维护费反映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按规定保留的公务用车燃料费、维修费、过路过桥费、保险费、安全奖励费用等支出；公务接待费反映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按规定开支的各类公务接待（含外宾接待）支出。</w:t>
      </w: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bidi w:val="0"/>
        <w:snapToGrid w:val="0"/>
        <w:spacing w:line="594"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预算公开报表（详见附表</w:t>
      </w:r>
      <w:r>
        <w:rPr>
          <w:rFonts w:hint="eastAsia" w:ascii="Times New Roman" w:hAnsi="Times New Roman" w:eastAsia="方正仿宋_GBK" w:cs="Times New Roman"/>
          <w:sz w:val="32"/>
          <w:szCs w:val="32"/>
          <w:lang w:eastAsia="zh-CN"/>
        </w:rPr>
        <w:t>重庆市开州区和谦镇产业发展服务中心</w:t>
      </w:r>
      <w:r>
        <w:rPr>
          <w:rFonts w:hint="default"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预算公开报表）</w:t>
      </w:r>
    </w:p>
    <w:p>
      <w:pPr>
        <w:keepNext w:val="0"/>
        <w:keepLines w:val="0"/>
        <w:pageBreakBefore w:val="0"/>
        <w:widowControl w:val="0"/>
        <w:kinsoku/>
        <w:wordWrap/>
        <w:overflowPunct/>
        <w:topLinePunct w:val="0"/>
        <w:bidi w:val="0"/>
        <w:snapToGrid w:val="0"/>
        <w:spacing w:line="594" w:lineRule="exact"/>
        <w:ind w:left="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预算公开联系人：</w:t>
      </w:r>
      <w:r>
        <w:rPr>
          <w:rFonts w:hint="default" w:ascii="Times New Roman" w:hAnsi="Times New Roman" w:eastAsia="方正仿宋_GBK" w:cs="Times New Roman"/>
          <w:sz w:val="32"/>
          <w:szCs w:val="32"/>
          <w:lang w:eastAsia="zh-CN"/>
        </w:rPr>
        <w:t>方毅</w:t>
      </w:r>
      <w:r>
        <w:rPr>
          <w:rFonts w:hint="default" w:ascii="Times New Roman" w:hAnsi="Times New Roman" w:eastAsia="方正仿宋_GBK" w:cs="Times New Roman"/>
          <w:sz w:val="32"/>
          <w:szCs w:val="32"/>
        </w:rPr>
        <w:t xml:space="preserve">  联系方式：023-52380001</w:t>
      </w:r>
    </w:p>
    <w:p>
      <w:pPr>
        <w:keepNext w:val="0"/>
        <w:keepLines w:val="0"/>
        <w:pageBreakBefore w:val="0"/>
        <w:widowControl w:val="0"/>
        <w:kinsoku/>
        <w:wordWrap/>
        <w:overflowPunct/>
        <w:topLinePunct w:val="0"/>
        <w:bidi w:val="0"/>
        <w:snapToGrid w:val="0"/>
        <w:spacing w:line="594" w:lineRule="exact"/>
        <w:ind w:left="0" w:firstLine="640" w:firstLineChars="200"/>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bidi w:val="0"/>
        <w:snapToGrid w:val="0"/>
        <w:spacing w:line="594" w:lineRule="exact"/>
        <w:ind w:left="0" w:leftChars="0" w:firstLine="0" w:firstLineChars="0"/>
        <w:textAlignment w:val="auto"/>
        <w:rPr>
          <w:rFonts w:hint="default"/>
        </w:rPr>
      </w:pPr>
    </w:p>
    <w:p>
      <w:pPr>
        <w:adjustRightInd w:val="0"/>
        <w:spacing w:line="594" w:lineRule="exact"/>
        <w:jc w:val="left"/>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重庆市开州区和谦镇人民政府</w:t>
      </w:r>
    </w:p>
    <w:p>
      <w:pPr>
        <w:adjustRightInd w:val="0"/>
        <w:spacing w:line="594"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w:t>
      </w: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12</w:t>
      </w:r>
      <w:bookmarkStart w:id="0" w:name="_GoBack"/>
      <w:bookmarkEnd w:id="0"/>
      <w:r>
        <w:rPr>
          <w:rFonts w:hint="default" w:ascii="Times New Roman" w:hAnsi="Times New Roman" w:eastAsia="方正仿宋_GBK" w:cs="Times New Roman"/>
          <w:sz w:val="32"/>
          <w:szCs w:val="32"/>
        </w:rPr>
        <w:t>日</w:t>
      </w: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napToGrid/>
        <w:spacing w:beforeAutospacing="0" w:afterAutospacing="0" w:line="594" w:lineRule="exact"/>
        <w:ind w:left="0" w:lef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spacing w:beforeAutospacing="0" w:afterAutospacing="0" w:line="594" w:lineRule="exact"/>
        <w:ind w:left="0" w:leftChars="0"/>
        <w:textAlignment w:val="auto"/>
        <w:rPr>
          <w:rFonts w:hint="default" w:ascii="Times New Roman" w:hAnsi="Times New Roman" w:eastAsia="方正仿宋_GBK" w:cs="Times New Roman"/>
          <w:kern w:val="0"/>
          <w:sz w:val="28"/>
          <w:szCs w:val="28"/>
          <w:u w:val="single"/>
          <w:lang w:val="en-US" w:eastAsia="zh-CN"/>
        </w:rPr>
      </w:pP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28"/>
          <w:szCs w:val="28"/>
          <w:u w:val="single"/>
        </w:rPr>
        <w:t>重庆市开州区和谦镇</w:t>
      </w:r>
      <w:r>
        <w:rPr>
          <w:rFonts w:hint="default" w:ascii="Times New Roman" w:hAnsi="Times New Roman" w:eastAsia="方正仿宋_GBK" w:cs="Times New Roman"/>
          <w:kern w:val="0"/>
          <w:sz w:val="28"/>
          <w:szCs w:val="28"/>
          <w:u w:val="single"/>
          <w:lang w:eastAsia="zh-CN"/>
        </w:rPr>
        <w:t>基层治理综合指挥</w:t>
      </w:r>
      <w:r>
        <w:rPr>
          <w:rFonts w:hint="default" w:ascii="Times New Roman" w:hAnsi="Times New Roman" w:eastAsia="方正仿宋_GBK" w:cs="Times New Roman"/>
          <w:kern w:val="0"/>
          <w:sz w:val="28"/>
          <w:szCs w:val="28"/>
          <w:u w:val="single"/>
        </w:rPr>
        <w:t xml:space="preserve">室 </w:t>
      </w:r>
      <w:r>
        <w:rPr>
          <w:rFonts w:hint="eastAsia"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u w:val="single"/>
        </w:rPr>
        <w:t xml:space="preserve">  202</w:t>
      </w:r>
      <w:r>
        <w:rPr>
          <w:rFonts w:hint="eastAsia" w:eastAsia="方正仿宋_GBK" w:cs="Times New Roman"/>
          <w:kern w:val="0"/>
          <w:sz w:val="28"/>
          <w:szCs w:val="28"/>
          <w:u w:val="single"/>
          <w:lang w:val="en-US" w:eastAsia="zh-CN"/>
        </w:rPr>
        <w:t>6</w:t>
      </w:r>
      <w:r>
        <w:rPr>
          <w:rFonts w:hint="default" w:ascii="Times New Roman" w:hAnsi="Times New Roman" w:eastAsia="方正仿宋_GBK" w:cs="Times New Roman"/>
          <w:kern w:val="0"/>
          <w:sz w:val="28"/>
          <w:szCs w:val="28"/>
          <w:u w:val="single"/>
        </w:rPr>
        <w:t>年</w:t>
      </w:r>
      <w:r>
        <w:rPr>
          <w:rFonts w:hint="eastAsia" w:eastAsia="方正仿宋_GBK" w:cs="Times New Roman"/>
          <w:kern w:val="0"/>
          <w:sz w:val="28"/>
          <w:szCs w:val="28"/>
          <w:u w:val="single"/>
          <w:lang w:val="en-US" w:eastAsia="zh-CN"/>
        </w:rPr>
        <w:t>3</w:t>
      </w:r>
      <w:r>
        <w:rPr>
          <w:rFonts w:hint="default" w:ascii="Times New Roman" w:hAnsi="Times New Roman" w:eastAsia="方正仿宋_GBK" w:cs="Times New Roman"/>
          <w:kern w:val="0"/>
          <w:sz w:val="28"/>
          <w:szCs w:val="28"/>
          <w:u w:val="single"/>
        </w:rPr>
        <w:t>月</w:t>
      </w:r>
      <w:r>
        <w:rPr>
          <w:rFonts w:hint="eastAsia" w:eastAsia="方正仿宋_GBK" w:cs="Times New Roman"/>
          <w:kern w:val="0"/>
          <w:sz w:val="28"/>
          <w:szCs w:val="28"/>
          <w:u w:val="single"/>
          <w:lang w:val="en-US" w:eastAsia="zh-CN"/>
        </w:rPr>
        <w:t>12</w:t>
      </w:r>
      <w:r>
        <w:rPr>
          <w:rFonts w:hint="default" w:ascii="Times New Roman" w:hAnsi="Times New Roman" w:eastAsia="方正仿宋_GBK" w:cs="Times New Roman"/>
          <w:kern w:val="0"/>
          <w:sz w:val="28"/>
          <w:szCs w:val="28"/>
          <w:u w:val="single"/>
        </w:rPr>
        <w:t xml:space="preserve">日印发   </w:t>
      </w:r>
    </w:p>
    <w:sectPr>
      <w:headerReference r:id="rId3" w:type="default"/>
      <w:footerReference r:id="rId4" w:type="default"/>
      <w:pgSz w:w="11906" w:h="16838"/>
      <w:pgMar w:top="1984" w:right="1446" w:bottom="1644" w:left="1446"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docPartObj>
                              <w:docPartGallery w:val="autotext"/>
                            </w:docPartObj>
                          </w:sdtPr>
                          <w:sdtContent>
                            <w:p>
                              <w:pPr>
                                <w:pStyle w:val="9"/>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3 -</w:t>
                              </w:r>
                              <w:r>
                                <w:rPr>
                                  <w:rFonts w:hint="eastAsia" w:asciiTheme="minorEastAsia" w:hAnsiTheme="minorEastAsia" w:eastAsiaTheme="minorEastAsia" w:cstheme="minorEastAsia"/>
                                  <w:sz w:val="28"/>
                                  <w:szCs w:val="28"/>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
                      <w:docPartObj>
                        <w:docPartGallery w:val="autotext"/>
                      </w:docPartObj>
                    </w:sdtPr>
                    <w:sdtContent>
                      <w:p>
                        <w:pPr>
                          <w:pStyle w:val="9"/>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3 -</w:t>
                        </w:r>
                        <w:r>
                          <w:rPr>
                            <w:rFonts w:hint="eastAsia" w:asciiTheme="minorEastAsia" w:hAnsiTheme="minorEastAsia" w:eastAsiaTheme="minorEastAsia" w:cstheme="minorEastAsia"/>
                            <w:sz w:val="28"/>
                            <w:szCs w:val="28"/>
                          </w:rPr>
                          <w:fldChar w:fldCharType="end"/>
                        </w:r>
                      </w:p>
                    </w:sdtContent>
                  </w:sdt>
                </w:txbxContent>
              </v:textbox>
            </v:shape>
          </w:pict>
        </mc:Fallback>
      </mc:AlternateContent>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43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 w:name="DocumentID" w:val="{4DCF706C-16DE-475C-B453-1555A6447F70}"/>
    <w:docVar w:name="DocumentName" w:val="NTKOOFFICE控件 中的文档"/>
  </w:docVars>
  <w:rsids>
    <w:rsidRoot w:val="0054308A"/>
    <w:rsid w:val="000142A1"/>
    <w:rsid w:val="00015427"/>
    <w:rsid w:val="00023B1A"/>
    <w:rsid w:val="00027ECE"/>
    <w:rsid w:val="00045B9E"/>
    <w:rsid w:val="00072A28"/>
    <w:rsid w:val="000B40BF"/>
    <w:rsid w:val="000D4DEE"/>
    <w:rsid w:val="000E2D28"/>
    <w:rsid w:val="0010323C"/>
    <w:rsid w:val="00152889"/>
    <w:rsid w:val="001843C5"/>
    <w:rsid w:val="001B3E57"/>
    <w:rsid w:val="001C770C"/>
    <w:rsid w:val="001D18A9"/>
    <w:rsid w:val="001D5332"/>
    <w:rsid w:val="001F24C1"/>
    <w:rsid w:val="00244F26"/>
    <w:rsid w:val="0024523E"/>
    <w:rsid w:val="002911EC"/>
    <w:rsid w:val="00293C2D"/>
    <w:rsid w:val="002B1C12"/>
    <w:rsid w:val="002D3140"/>
    <w:rsid w:val="002D50B0"/>
    <w:rsid w:val="00300248"/>
    <w:rsid w:val="00301C42"/>
    <w:rsid w:val="0031096B"/>
    <w:rsid w:val="0032764D"/>
    <w:rsid w:val="00344A75"/>
    <w:rsid w:val="00344F50"/>
    <w:rsid w:val="003511E1"/>
    <w:rsid w:val="00383A2C"/>
    <w:rsid w:val="003C01D3"/>
    <w:rsid w:val="003C5C93"/>
    <w:rsid w:val="003C6AA6"/>
    <w:rsid w:val="003F00BB"/>
    <w:rsid w:val="003F7834"/>
    <w:rsid w:val="004525CE"/>
    <w:rsid w:val="00475812"/>
    <w:rsid w:val="00486DB8"/>
    <w:rsid w:val="004C5FF9"/>
    <w:rsid w:val="004E3726"/>
    <w:rsid w:val="004E4258"/>
    <w:rsid w:val="004E4E79"/>
    <w:rsid w:val="004F7CEF"/>
    <w:rsid w:val="00500D1C"/>
    <w:rsid w:val="00532297"/>
    <w:rsid w:val="0054308A"/>
    <w:rsid w:val="00562325"/>
    <w:rsid w:val="005C4164"/>
    <w:rsid w:val="00614720"/>
    <w:rsid w:val="006262A0"/>
    <w:rsid w:val="00642236"/>
    <w:rsid w:val="00650B73"/>
    <w:rsid w:val="006B6160"/>
    <w:rsid w:val="006C0340"/>
    <w:rsid w:val="006C3306"/>
    <w:rsid w:val="006D1D01"/>
    <w:rsid w:val="007262D7"/>
    <w:rsid w:val="00735E77"/>
    <w:rsid w:val="00791F13"/>
    <w:rsid w:val="007C0FE4"/>
    <w:rsid w:val="00812207"/>
    <w:rsid w:val="008123AA"/>
    <w:rsid w:val="00815410"/>
    <w:rsid w:val="00815F31"/>
    <w:rsid w:val="008202F5"/>
    <w:rsid w:val="00850B0B"/>
    <w:rsid w:val="0086494C"/>
    <w:rsid w:val="008754DD"/>
    <w:rsid w:val="008844DC"/>
    <w:rsid w:val="00887E56"/>
    <w:rsid w:val="00891E0B"/>
    <w:rsid w:val="008A4A75"/>
    <w:rsid w:val="009058C9"/>
    <w:rsid w:val="00906DF7"/>
    <w:rsid w:val="009122BF"/>
    <w:rsid w:val="00912AB1"/>
    <w:rsid w:val="00912E5D"/>
    <w:rsid w:val="00946917"/>
    <w:rsid w:val="00985C97"/>
    <w:rsid w:val="009A10B8"/>
    <w:rsid w:val="009C0832"/>
    <w:rsid w:val="009F16EE"/>
    <w:rsid w:val="00A630B0"/>
    <w:rsid w:val="00A93334"/>
    <w:rsid w:val="00AE1556"/>
    <w:rsid w:val="00AF1B25"/>
    <w:rsid w:val="00B113EB"/>
    <w:rsid w:val="00B1345D"/>
    <w:rsid w:val="00B45E7C"/>
    <w:rsid w:val="00BA05D7"/>
    <w:rsid w:val="00BE46ED"/>
    <w:rsid w:val="00BF455B"/>
    <w:rsid w:val="00BF59EB"/>
    <w:rsid w:val="00BF7994"/>
    <w:rsid w:val="00C066FD"/>
    <w:rsid w:val="00C07C26"/>
    <w:rsid w:val="00C106E2"/>
    <w:rsid w:val="00C12019"/>
    <w:rsid w:val="00C24B84"/>
    <w:rsid w:val="00C41706"/>
    <w:rsid w:val="00C41DA9"/>
    <w:rsid w:val="00C43BBD"/>
    <w:rsid w:val="00CA08F8"/>
    <w:rsid w:val="00CD494B"/>
    <w:rsid w:val="00D07E24"/>
    <w:rsid w:val="00D129A7"/>
    <w:rsid w:val="00D33F7A"/>
    <w:rsid w:val="00D34260"/>
    <w:rsid w:val="00D66990"/>
    <w:rsid w:val="00D70441"/>
    <w:rsid w:val="00D80FB0"/>
    <w:rsid w:val="00D821C7"/>
    <w:rsid w:val="00DA2D50"/>
    <w:rsid w:val="00DE077F"/>
    <w:rsid w:val="00DF1B28"/>
    <w:rsid w:val="00E1051D"/>
    <w:rsid w:val="00E319E9"/>
    <w:rsid w:val="00E36829"/>
    <w:rsid w:val="00E42C39"/>
    <w:rsid w:val="00E561D7"/>
    <w:rsid w:val="00E73C82"/>
    <w:rsid w:val="00EA329E"/>
    <w:rsid w:val="00EA46FF"/>
    <w:rsid w:val="00EA6C56"/>
    <w:rsid w:val="00EF2FAC"/>
    <w:rsid w:val="00F05524"/>
    <w:rsid w:val="00F22EE5"/>
    <w:rsid w:val="00F234FA"/>
    <w:rsid w:val="00F3444F"/>
    <w:rsid w:val="00F34B60"/>
    <w:rsid w:val="00F429A7"/>
    <w:rsid w:val="00F63670"/>
    <w:rsid w:val="00F70CBC"/>
    <w:rsid w:val="00F72600"/>
    <w:rsid w:val="00FB177B"/>
    <w:rsid w:val="13D965B5"/>
    <w:rsid w:val="1B6D8284"/>
    <w:rsid w:val="1BE5ADAD"/>
    <w:rsid w:val="1DDEE2B4"/>
    <w:rsid w:val="2E33416C"/>
    <w:rsid w:val="2E6620E0"/>
    <w:rsid w:val="2F990112"/>
    <w:rsid w:val="3AFB2369"/>
    <w:rsid w:val="3CEA9394"/>
    <w:rsid w:val="3E5311C7"/>
    <w:rsid w:val="3FBF4B60"/>
    <w:rsid w:val="412E1B88"/>
    <w:rsid w:val="556A0118"/>
    <w:rsid w:val="564B761C"/>
    <w:rsid w:val="56C54810"/>
    <w:rsid w:val="614F0C08"/>
    <w:rsid w:val="65D941AA"/>
    <w:rsid w:val="692846B1"/>
    <w:rsid w:val="6DFE85E5"/>
    <w:rsid w:val="6EDFF661"/>
    <w:rsid w:val="6FFB4012"/>
    <w:rsid w:val="72F45E03"/>
    <w:rsid w:val="75F76982"/>
    <w:rsid w:val="77F7EDFD"/>
    <w:rsid w:val="7BA5D47D"/>
    <w:rsid w:val="7BD5BAC3"/>
    <w:rsid w:val="7BDF9A8C"/>
    <w:rsid w:val="7BFF6BB1"/>
    <w:rsid w:val="7BFFC628"/>
    <w:rsid w:val="7CFAF052"/>
    <w:rsid w:val="7EC7B178"/>
    <w:rsid w:val="7EFF688D"/>
    <w:rsid w:val="7EFF969E"/>
    <w:rsid w:val="7F7E74F5"/>
    <w:rsid w:val="7FF1DA84"/>
    <w:rsid w:val="ABED84DF"/>
    <w:rsid w:val="AEEB6B8B"/>
    <w:rsid w:val="B5DFEDF4"/>
    <w:rsid w:val="BFE53233"/>
    <w:rsid w:val="CDBFBF15"/>
    <w:rsid w:val="DF6D7E41"/>
    <w:rsid w:val="DFE7F922"/>
    <w:rsid w:val="DFF65153"/>
    <w:rsid w:val="DFFEA40B"/>
    <w:rsid w:val="FBF72B5F"/>
    <w:rsid w:val="FBFBDD21"/>
    <w:rsid w:val="FE3FBCD3"/>
    <w:rsid w:val="FE6D2F85"/>
    <w:rsid w:val="FEF576D3"/>
    <w:rsid w:val="FFFD46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99"/>
    <w:pPr>
      <w:spacing w:after="120"/>
      <w:ind w:firstLine="420" w:firstLineChars="100"/>
    </w:pPr>
    <w:rPr>
      <w:rFonts w:ascii="仿宋_GB2312" w:hAnsi="宋体" w:eastAsia="仿宋_GB2312" w:cs="Times New Roman"/>
      <w:color w:val="993300"/>
      <w:sz w:val="24"/>
    </w:rPr>
  </w:style>
  <w:style w:type="paragraph" w:styleId="3">
    <w:name w:val="Normal Indent"/>
    <w:basedOn w:val="1"/>
    <w:next w:val="1"/>
    <w:unhideWhenUsed/>
    <w:qFormat/>
    <w:uiPriority w:val="0"/>
    <w:pPr>
      <w:ind w:firstLine="420" w:firstLineChars="200"/>
    </w:pPr>
    <w:rPr>
      <w:rFonts w:ascii="Times New Roman" w:hAnsi="Times New Roman"/>
    </w:rPr>
  </w:style>
  <w:style w:type="paragraph" w:styleId="4">
    <w:name w:val="Body Text"/>
    <w:basedOn w:val="1"/>
    <w:next w:val="1"/>
    <w:qFormat/>
    <w:uiPriority w:val="0"/>
    <w:pPr>
      <w:spacing w:after="120"/>
    </w:pPr>
    <w:rPr>
      <w:rFonts w:ascii="仿宋_GB2312" w:hAnsi="Times New Roman" w:eastAsia="仿宋_GB2312"/>
      <w:sz w:val="32"/>
      <w:szCs w:val="20"/>
    </w:rPr>
  </w:style>
  <w:style w:type="paragraph" w:styleId="5">
    <w:name w:val="Body Text Indent"/>
    <w:basedOn w:val="1"/>
    <w:link w:val="27"/>
    <w:unhideWhenUsed/>
    <w:qFormat/>
    <w:uiPriority w:val="99"/>
    <w:pPr>
      <w:spacing w:after="120"/>
      <w:ind w:left="420" w:leftChars="200"/>
    </w:pPr>
    <w:rPr>
      <w:rFonts w:ascii="Calibri" w:hAnsi="Calibri"/>
      <w:szCs w:val="22"/>
    </w:rPr>
  </w:style>
  <w:style w:type="paragraph" w:styleId="6">
    <w:name w:val="toc 5"/>
    <w:basedOn w:val="1"/>
    <w:next w:val="1"/>
    <w:qFormat/>
    <w:locked/>
    <w:uiPriority w:val="0"/>
    <w:pPr>
      <w:adjustRightInd w:val="0"/>
      <w:snapToGrid w:val="0"/>
      <w:ind w:left="1680" w:leftChars="800" w:firstLine="200" w:firstLineChars="200"/>
    </w:pPr>
    <w:rPr>
      <w:rFonts w:ascii="Times New Roman" w:hAnsi="Times New Roman" w:eastAsia="方正仿宋_GBK"/>
      <w:sz w:val="32"/>
    </w:rPr>
  </w:style>
  <w:style w:type="paragraph" w:styleId="7">
    <w:name w:val="Date"/>
    <w:basedOn w:val="1"/>
    <w:next w:val="1"/>
    <w:link w:val="26"/>
    <w:qFormat/>
    <w:uiPriority w:val="99"/>
    <w:pPr>
      <w:ind w:left="100" w:leftChars="2500"/>
    </w:pPr>
  </w:style>
  <w:style w:type="paragraph" w:styleId="8">
    <w:name w:val="Body Text Indent 2"/>
    <w:basedOn w:val="1"/>
    <w:link w:val="28"/>
    <w:semiHidden/>
    <w:unhideWhenUsed/>
    <w:qFormat/>
    <w:uiPriority w:val="99"/>
    <w:pPr>
      <w:spacing w:after="120" w:line="480" w:lineRule="auto"/>
      <w:ind w:left="420" w:leftChars="200"/>
    </w:pPr>
    <w:rPr>
      <w:rFonts w:ascii="Calibri" w:hAnsi="Calibri"/>
      <w:szCs w:val="22"/>
    </w:rPr>
  </w:style>
  <w:style w:type="paragraph" w:styleId="9">
    <w:name w:val="footer"/>
    <w:basedOn w:val="1"/>
    <w:next w:val="10"/>
    <w:link w:val="23"/>
    <w:qFormat/>
    <w:uiPriority w:val="99"/>
    <w:pPr>
      <w:tabs>
        <w:tab w:val="center" w:pos="4153"/>
        <w:tab w:val="right" w:pos="8306"/>
      </w:tabs>
      <w:snapToGrid w:val="0"/>
      <w:jc w:val="left"/>
    </w:pPr>
    <w:rPr>
      <w:rFonts w:eastAsia="仿宋_GB2312"/>
      <w:sz w:val="18"/>
      <w:szCs w:val="18"/>
    </w:rPr>
  </w:style>
  <w:style w:type="paragraph" w:customStyle="1" w:styleId="10">
    <w:name w:val="索引 51"/>
    <w:basedOn w:val="1"/>
    <w:next w:val="1"/>
    <w:qFormat/>
    <w:uiPriority w:val="0"/>
    <w:pPr>
      <w:ind w:left="1680"/>
    </w:pPr>
    <w:rPr>
      <w:sz w:val="32"/>
      <w:szCs w:val="24"/>
    </w:rPr>
  </w:style>
  <w:style w:type="paragraph" w:styleId="11">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locked/>
    <w:uiPriority w:val="0"/>
    <w:pPr>
      <w:tabs>
        <w:tab w:val="right" w:leader="dot" w:pos="8280"/>
      </w:tabs>
      <w:spacing w:line="360" w:lineRule="auto"/>
      <w:ind w:firstLine="141" w:firstLineChars="27"/>
      <w:jc w:val="center"/>
    </w:pPr>
    <w:rPr>
      <w:rFonts w:ascii="黑体" w:hAnsi="黑体" w:eastAsia="黑体"/>
      <w:b/>
      <w:bCs/>
      <w:caps/>
      <w:sz w:val="52"/>
      <w:szCs w:val="52"/>
    </w:rPr>
  </w:style>
  <w:style w:type="paragraph" w:styleId="13">
    <w:name w:val="index 7"/>
    <w:basedOn w:val="1"/>
    <w:next w:val="1"/>
    <w:unhideWhenUsed/>
    <w:qFormat/>
    <w:uiPriority w:val="99"/>
    <w:pPr>
      <w:ind w:left="1200" w:leftChars="1200"/>
    </w:pPr>
  </w:style>
  <w:style w:type="paragraph" w:styleId="14">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8">
    <w:name w:val="Strong"/>
    <w:basedOn w:val="17"/>
    <w:qFormat/>
    <w:uiPriority w:val="99"/>
    <w:rPr>
      <w:rFonts w:cs="Times New Roman"/>
      <w:b/>
      <w:bCs/>
    </w:rPr>
  </w:style>
  <w:style w:type="character" w:styleId="19">
    <w:name w:val="page number"/>
    <w:basedOn w:val="17"/>
    <w:qFormat/>
    <w:uiPriority w:val="99"/>
    <w:rPr>
      <w:rFonts w:cs="Times New Roman"/>
    </w:rPr>
  </w:style>
  <w:style w:type="character" w:styleId="20">
    <w:name w:val="Hyperlink"/>
    <w:basedOn w:val="17"/>
    <w:qFormat/>
    <w:uiPriority w:val="99"/>
    <w:rPr>
      <w:rFonts w:cs="Times New Roman"/>
      <w:color w:val="0000FF"/>
      <w:u w:val="single"/>
    </w:rPr>
  </w:style>
  <w:style w:type="paragraph" w:customStyle="1" w:styleId="21">
    <w:name w:val="默认"/>
    <w:qFormat/>
    <w:uiPriority w:val="0"/>
    <w:rPr>
      <w:rFonts w:ascii="Helvetica" w:hAnsi="Helvetica" w:eastAsia="Helvetica" w:cs="Helvetica"/>
      <w:color w:val="000000"/>
      <w:sz w:val="22"/>
      <w:szCs w:val="22"/>
      <w:lang w:val="en-US" w:eastAsia="zh-CN" w:bidi="ar-SA"/>
    </w:rPr>
  </w:style>
  <w:style w:type="character" w:customStyle="1" w:styleId="22">
    <w:name w:val="页眉 Char"/>
    <w:basedOn w:val="17"/>
    <w:link w:val="11"/>
    <w:qFormat/>
    <w:locked/>
    <w:uiPriority w:val="0"/>
    <w:rPr>
      <w:rFonts w:cs="Times New Roman"/>
      <w:kern w:val="2"/>
      <w:sz w:val="18"/>
      <w:szCs w:val="18"/>
    </w:rPr>
  </w:style>
  <w:style w:type="character" w:customStyle="1" w:styleId="23">
    <w:name w:val="页脚 Char"/>
    <w:basedOn w:val="17"/>
    <w:link w:val="9"/>
    <w:qFormat/>
    <w:locked/>
    <w:uiPriority w:val="99"/>
    <w:rPr>
      <w:rFonts w:eastAsia="仿宋_GB2312" w:cs="Times New Roman"/>
      <w:kern w:val="2"/>
      <w:sz w:val="18"/>
      <w:szCs w:val="18"/>
      <w:lang w:val="en-US" w:eastAsia="zh-CN" w:bidi="ar-SA"/>
    </w:rPr>
  </w:style>
  <w:style w:type="character" w:customStyle="1" w:styleId="24">
    <w:name w:val="Header Char1"/>
    <w:basedOn w:val="17"/>
    <w:link w:val="11"/>
    <w:semiHidden/>
    <w:qFormat/>
    <w:locked/>
    <w:uiPriority w:val="99"/>
    <w:rPr>
      <w:rFonts w:cs="Times New Roman"/>
      <w:sz w:val="18"/>
      <w:szCs w:val="18"/>
    </w:rPr>
  </w:style>
  <w:style w:type="paragraph" w:customStyle="1" w:styleId="25">
    <w:name w:val="Char"/>
    <w:basedOn w:val="1"/>
    <w:qFormat/>
    <w:uiPriority w:val="99"/>
    <w:pPr>
      <w:spacing w:before="100" w:beforeAutospacing="1" w:after="100" w:afterAutospacing="1"/>
    </w:pPr>
    <w:rPr>
      <w:rFonts w:ascii="仿宋_GB2312" w:eastAsia="仿宋_GB2312"/>
      <w:b/>
      <w:sz w:val="32"/>
      <w:szCs w:val="32"/>
    </w:rPr>
  </w:style>
  <w:style w:type="character" w:customStyle="1" w:styleId="26">
    <w:name w:val="日期 Char"/>
    <w:basedOn w:val="17"/>
    <w:link w:val="7"/>
    <w:semiHidden/>
    <w:qFormat/>
    <w:locked/>
    <w:uiPriority w:val="99"/>
    <w:rPr>
      <w:rFonts w:cs="Times New Roman"/>
      <w:sz w:val="24"/>
      <w:szCs w:val="24"/>
    </w:rPr>
  </w:style>
  <w:style w:type="character" w:customStyle="1" w:styleId="27">
    <w:name w:val="正文文本缩进 Char"/>
    <w:basedOn w:val="17"/>
    <w:link w:val="5"/>
    <w:qFormat/>
    <w:uiPriority w:val="99"/>
    <w:rPr>
      <w:rFonts w:ascii="Calibri" w:hAnsi="Calibri"/>
      <w:kern w:val="2"/>
      <w:sz w:val="21"/>
      <w:szCs w:val="22"/>
    </w:rPr>
  </w:style>
  <w:style w:type="character" w:customStyle="1" w:styleId="28">
    <w:name w:val="正文文本缩进 2 Char"/>
    <w:basedOn w:val="17"/>
    <w:link w:val="8"/>
    <w:semiHidden/>
    <w:qFormat/>
    <w:uiPriority w:val="99"/>
    <w:rPr>
      <w:rFonts w:ascii="Calibri" w:hAnsi="Calibri"/>
      <w:kern w:val="2"/>
      <w:sz w:val="21"/>
      <w:szCs w:val="22"/>
    </w:rPr>
  </w:style>
  <w:style w:type="paragraph" w:customStyle="1" w:styleId="2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30">
    <w:name w:val="font01"/>
    <w:basedOn w:val="17"/>
    <w:qFormat/>
    <w:uiPriority w:val="0"/>
    <w:rPr>
      <w:rFonts w:hint="eastAsia" w:ascii="方正仿宋_GBK" w:hAnsi="方正仿宋_GBK" w:eastAsia="方正仿宋_GBK" w:cs="方正仿宋_GBK"/>
      <w:color w:val="000000"/>
      <w:sz w:val="28"/>
      <w:szCs w:val="28"/>
      <w:u w:val="none"/>
    </w:rPr>
  </w:style>
  <w:style w:type="character" w:customStyle="1" w:styleId="31">
    <w:name w:val="font31"/>
    <w:basedOn w:val="17"/>
    <w:qFormat/>
    <w:uiPriority w:val="0"/>
    <w:rPr>
      <w:rFonts w:hint="default" w:ascii="Times New Roman" w:hAnsi="Times New Roman" w:cs="Times New Roman"/>
      <w:color w:val="000000"/>
      <w:sz w:val="28"/>
      <w:szCs w:val="28"/>
      <w:u w:val="none"/>
    </w:rPr>
  </w:style>
  <w:style w:type="paragraph" w:customStyle="1" w:styleId="32">
    <w:name w:val="正文首行缩进 21"/>
    <w:basedOn w:val="5"/>
    <w:qFormat/>
    <w:uiPriority w:val="0"/>
    <w:pPr>
      <w:ind w:firstLine="420"/>
    </w:pPr>
    <w:rPr>
      <w:rFonts w:cs="宋体"/>
    </w:rPr>
  </w:style>
  <w:style w:type="paragraph" w:customStyle="1" w:styleId="33">
    <w:name w:val="小标宋标题"/>
    <w:basedOn w:val="1"/>
    <w:qFormat/>
    <w:uiPriority w:val="0"/>
    <w:pPr>
      <w:spacing w:line="640" w:lineRule="exact"/>
      <w:jc w:val="center"/>
    </w:pPr>
    <w:rPr>
      <w:rFonts w:eastAsia="方正小标宋_GBK"/>
      <w:sz w:val="44"/>
      <w:szCs w:val="44"/>
    </w:rPr>
  </w:style>
  <w:style w:type="paragraph" w:customStyle="1" w:styleId="34">
    <w:name w:val="UserStyle_0"/>
    <w:basedOn w:val="1"/>
    <w:link w:val="35"/>
    <w:qFormat/>
    <w:uiPriority w:val="0"/>
    <w:pPr>
      <w:spacing w:line="422" w:lineRule="auto"/>
      <w:ind w:firstLine="400"/>
      <w:textAlignment w:val="baseline"/>
    </w:pPr>
    <w:rPr>
      <w:rFonts w:ascii="宋体" w:hAnsi="宋体" w:eastAsia="宋体"/>
      <w:sz w:val="30"/>
      <w:szCs w:val="30"/>
      <w:lang w:val="zh-TW" w:eastAsia="zh-TW" w:bidi="zh-TW"/>
    </w:rPr>
  </w:style>
  <w:style w:type="character" w:customStyle="1" w:styleId="35">
    <w:name w:val="NormalCharacter"/>
    <w:link w:val="34"/>
    <w:qFormat/>
    <w:uiPriority w:val="0"/>
    <w:rPr>
      <w:rFonts w:ascii="宋体" w:hAnsi="宋体" w:eastAsia="宋体"/>
      <w:sz w:val="30"/>
      <w:szCs w:val="30"/>
      <w:lang w:val="zh-TW" w:eastAsia="zh-TW" w:bidi="zh-TW"/>
    </w:rPr>
  </w:style>
  <w:style w:type="paragraph" w:customStyle="1" w:styleId="36">
    <w:name w:val="正文1"/>
    <w:qFormat/>
    <w:uiPriority w:val="0"/>
    <w:pPr>
      <w:jc w:val="both"/>
    </w:pPr>
    <w:rPr>
      <w:rFonts w:ascii="Times New Roman" w:hAnsi="Times New Roman" w:eastAsia="宋体" w:cs="Times New Roman"/>
      <w:kern w:val="2"/>
      <w:sz w:val="21"/>
      <w:szCs w:val="21"/>
      <w:lang w:val="en-US" w:eastAsia="zh-CN" w:bidi="ar-SA"/>
    </w:rPr>
  </w:style>
  <w:style w:type="paragraph" w:styleId="3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275</Words>
  <Characters>1569</Characters>
  <Lines>13</Lines>
  <Paragraphs>3</Paragraphs>
  <TotalTime>0</TotalTime>
  <ScaleCrop>false</ScaleCrop>
  <LinksUpToDate>false</LinksUpToDate>
  <CharactersWithSpaces>1841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2023-02-18T01:52:00Z</dcterms:created>
  <dc:creator>killer</dc:creator>
  <cp:lastModifiedBy>冉浩田</cp:lastModifiedBy>
  <cp:lastPrinted>2026-01-15T18:34:00Z</cp:lastPrinted>
  <dcterms:modified xsi:type="dcterms:W3CDTF">2026-03-12T09:04:32Z</dcterms:modified>
  <dc:title>开州和府发〔2018〕10号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E1B8FD654CA129FF17C25C69C1739F7B_42</vt:lpwstr>
  </property>
</Properties>
</file>