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黑体" w:cs="Times New Roman"/>
          <w:b/>
          <w:color w:val="000000"/>
          <w:w w:val="100"/>
          <w:kern w:val="2"/>
          <w:sz w:val="44"/>
          <w:szCs w:val="44"/>
        </w:rPr>
      </w:pPr>
      <w:r>
        <w:rPr>
          <w:rFonts w:hint="eastAsia" w:ascii="Times New Roman" w:hAnsi="Times New Roman" w:eastAsia="方正小标宋_GBK"/>
          <w:color w:val="auto"/>
          <w:sz w:val="44"/>
          <w:szCs w:val="44"/>
          <w:shd w:val="clear" w:color="auto" w:fill="auto"/>
          <w:lang w:val="en-US" w:eastAsia="zh-CN"/>
        </w:rPr>
        <w:t xml:space="preserve"> </w:t>
      </w: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r>
        <w:rPr>
          <w:rFonts w:hint="default" w:ascii="Times New Roman" w:hAnsi="Times New Roman" w:eastAsia="宋体" w:cs="Times New Roman"/>
          <w:w w:val="100"/>
          <w:kern w:val="2"/>
          <w:sz w:val="21"/>
          <w:szCs w:val="24"/>
        </w:rPr>
        <w:pict>
          <v:shape id="_x0000_s1026" o:spid="_x0000_s1026" o:spt="172" type="#_x0000_t172" style="position:absolute;left:0pt;margin-left:0pt;margin-top:-7.8pt;height:62.1pt;width:450.75pt;z-index:251660288;mso-width-relative:page;mso-height-relative:page;" fillcolor="#FF0000" filled="t" stroked="t" coordsize="21600,21600" adj="0">
            <v:path/>
            <v:fill on="t" color2="#FFFFFF" focussize="0,0"/>
            <v:stroke color="#FF0000"/>
            <v:imagedata o:title=""/>
            <o:lock v:ext="edit" aspectratio="f"/>
            <v:textpath on="t" fitshape="t" fitpath="t" trim="t" xscale="f" string="重庆市开州区白桥镇人民政府文件" style="font-family:方正小标宋_GBK;font-size:36pt;v-text-align:left;"/>
          </v:shape>
        </w:pict>
      </w:r>
    </w:p>
    <w:p>
      <w:pPr>
        <w:spacing w:line="560" w:lineRule="exact"/>
        <w:rPr>
          <w:rFonts w:hint="default" w:ascii="Times New Roman" w:hAnsi="Times New Roman" w:eastAsia="仿宋_GB2312" w:cs="Times New Roman"/>
          <w:w w:val="100"/>
          <w:kern w:val="2"/>
          <w:sz w:val="36"/>
          <w:szCs w:val="36"/>
        </w:rPr>
      </w:pPr>
    </w:p>
    <w:p>
      <w:pPr>
        <w:spacing w:line="560" w:lineRule="exact"/>
        <w:jc w:val="center"/>
        <w:rPr>
          <w:rFonts w:hint="default" w:ascii="Times New Roman" w:hAnsi="Times New Roman" w:eastAsia="方正仿宋_GBK" w:cs="Times New Roman"/>
          <w:w w:val="100"/>
          <w:kern w:val="2"/>
          <w:sz w:val="32"/>
          <w:szCs w:val="32"/>
        </w:rPr>
      </w:pPr>
    </w:p>
    <w:p>
      <w:pPr>
        <w:spacing w:line="560" w:lineRule="exact"/>
        <w:jc w:val="center"/>
        <w:rPr>
          <w:rFonts w:hint="default" w:ascii="Times New Roman" w:hAnsi="Times New Roman" w:eastAsia="方正仿宋_GBK" w:cs="Times New Roman"/>
          <w:w w:val="100"/>
          <w:kern w:val="2"/>
          <w:sz w:val="32"/>
          <w:szCs w:val="32"/>
        </w:rPr>
      </w:pPr>
      <w:r>
        <w:rPr>
          <w:rFonts w:hint="default" w:ascii="Times New Roman" w:hAnsi="Times New Roman" w:eastAsia="方正仿宋_GBK" w:cs="Times New Roman"/>
          <w:w w:val="100"/>
          <w:kern w:val="2"/>
          <w:sz w:val="32"/>
          <w:szCs w:val="32"/>
        </w:rPr>
        <w:t>开州白桥府</w:t>
      </w:r>
      <w:r>
        <w:rPr>
          <w:rFonts w:hint="default" w:ascii="Times New Roman" w:hAnsi="Times New Roman" w:eastAsia="方正仿宋_GBK" w:cs="Times New Roman"/>
          <w:w w:val="100"/>
          <w:kern w:val="2"/>
          <w:sz w:val="32"/>
          <w:szCs w:val="32"/>
          <w:lang w:val="en-US" w:eastAsia="zh-CN"/>
        </w:rPr>
        <w:t>发</w:t>
      </w:r>
      <w:r>
        <w:rPr>
          <w:rFonts w:hint="default" w:ascii="Times New Roman" w:hAnsi="Times New Roman" w:eastAsia="方正仿宋_GBK" w:cs="Times New Roman"/>
          <w:w w:val="100"/>
          <w:kern w:val="2"/>
          <w:sz w:val="32"/>
          <w:szCs w:val="32"/>
        </w:rPr>
        <w:t>〔202</w:t>
      </w:r>
      <w:r>
        <w:rPr>
          <w:rFonts w:hint="eastAsia" w:ascii="Times New Roman" w:hAnsi="Times New Roman" w:eastAsia="方正仿宋_GBK" w:cs="Times New Roman"/>
          <w:w w:val="100"/>
          <w:kern w:val="2"/>
          <w:sz w:val="32"/>
          <w:szCs w:val="32"/>
          <w:lang w:val="en-US" w:eastAsia="zh-CN"/>
        </w:rPr>
        <w:t>6</w:t>
      </w:r>
      <w:r>
        <w:rPr>
          <w:rFonts w:hint="default" w:ascii="Times New Roman" w:hAnsi="Times New Roman" w:eastAsia="方正仿宋_GBK" w:cs="Times New Roman"/>
          <w:w w:val="100"/>
          <w:kern w:val="2"/>
          <w:sz w:val="32"/>
          <w:szCs w:val="32"/>
        </w:rPr>
        <w:t>〕</w:t>
      </w:r>
      <w:r>
        <w:rPr>
          <w:rFonts w:hint="eastAsia" w:ascii="Times New Roman" w:hAnsi="Times New Roman" w:eastAsia="方正仿宋_GBK" w:cs="Times New Roman"/>
          <w:w w:val="100"/>
          <w:kern w:val="2"/>
          <w:sz w:val="32"/>
          <w:szCs w:val="32"/>
          <w:lang w:val="en-US" w:eastAsia="zh-CN"/>
        </w:rPr>
        <w:t>16</w:t>
      </w:r>
      <w:r>
        <w:rPr>
          <w:rFonts w:hint="default" w:ascii="Times New Roman" w:hAnsi="Times New Roman" w:eastAsia="方正仿宋_GBK" w:cs="Times New Roman"/>
          <w:w w:val="100"/>
          <w:kern w:val="2"/>
          <w:sz w:val="32"/>
          <w:szCs w:val="32"/>
        </w:rPr>
        <w:t>号</w:t>
      </w:r>
    </w:p>
    <w:p>
      <w:pPr>
        <w:spacing w:line="560" w:lineRule="exact"/>
        <w:rPr>
          <w:rFonts w:hint="default" w:ascii="Times New Roman" w:hAnsi="Times New Roman" w:eastAsia="方正小标宋_GBK" w:cs="Times New Roman"/>
          <w:w w:val="100"/>
          <w:kern w:val="2"/>
          <w:sz w:val="36"/>
          <w:szCs w:val="36"/>
        </w:rPr>
      </w:pPr>
      <w:r>
        <w:rPr>
          <w:rFonts w:hint="default" w:ascii="Times New Roman" w:hAnsi="Times New Roman" w:eastAsia="宋体" w:cs="Times New Roman"/>
          <w:w w:val="100"/>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791200" cy="0"/>
                <wp:effectExtent l="0" t="12700" r="0" b="15875"/>
                <wp:wrapNone/>
                <wp:docPr id="6" name="直接连接符 6"/>
                <wp:cNvGraphicFramePr/>
                <a:graphic xmlns:a="http://schemas.openxmlformats.org/drawingml/2006/main">
                  <a:graphicData uri="http://schemas.microsoft.com/office/word/2010/wordprocessingShape">
                    <wps:wsp>
                      <wps:cNvCnPr/>
                      <wps:spPr>
                        <a:xfrm flipV="1">
                          <a:off x="0" y="0"/>
                          <a:ext cx="57912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7.8pt;height:0pt;width:456pt;z-index:251659264;mso-width-relative:page;mso-height-relative:page;" filled="f" stroked="t" coordsize="21600,21600" o:gfxdata="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9K49QAAAAJAQAADwAAAAAAAAABACAAAAAiAAAAZHJzL2Rvd25y&#10;ZXYueG1sUEsBAhQAFAAAAAgAh07iQI4cS2wCAgAA/QMAAA4AAAAAAAAAAQAgAAAAIwEAAGRycy9l&#10;Mm9Eb2MueG1sUEsFBgAAAAAGAAYAWQEAAJcFA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白桥镇人民政府（本级）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预算情况公开的公</w:t>
      </w:r>
      <w:r>
        <w:rPr>
          <w:rFonts w:hint="eastAsia" w:ascii="方正小标宋_GBK" w:hAnsi="方正小标宋_GBK" w:eastAsia="方正小标宋_GBK" w:cs="方正小标宋_GBK"/>
          <w:sz w:val="44"/>
          <w:szCs w:val="44"/>
          <w:lang w:val="en-US" w:eastAsia="zh-CN"/>
        </w:rPr>
        <w:t>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eastAsia="方正小标宋_GBK"/>
          <w:sz w:val="44"/>
          <w:szCs w:val="44"/>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default" w:ascii="Times New Roman" w:hAnsi="Times New Roman" w:eastAsia="方正仿宋_GBK" w:cs="Times New Roman"/>
          <w:sz w:val="32"/>
          <w:szCs w:val="32"/>
        </w:rPr>
        <w:t>492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和重庆市开州区白桥镇人民政府《关于批复2026年单位预算的通知》（</w:t>
      </w:r>
      <w:r>
        <w:rPr>
          <w:rFonts w:hint="eastAsia" w:ascii="方正仿宋_GBK" w:hAnsi="方正仿宋_GBK" w:eastAsia="方正仿宋_GBK" w:cs="方正仿宋_GBK"/>
          <w:color w:val="auto"/>
          <w:sz w:val="32"/>
          <w:szCs w:val="32"/>
          <w:lang w:val="en-US" w:eastAsia="zh-CN"/>
        </w:rPr>
        <w:t>开州白桥府发〔2026〕14号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val="en-US" w:eastAsia="zh-CN"/>
        </w:rPr>
        <w:t>重庆市开州区白桥镇人民政府（本级）</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目    录</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center"/>
        <w:textAlignment w:val="auto"/>
        <w:rPr>
          <w:rFonts w:eastAsia="方正楷体_GBK"/>
          <w:sz w:val="32"/>
          <w:szCs w:val="32"/>
        </w:rPr>
      </w:pPr>
      <w:r>
        <w:rPr>
          <w:rFonts w:eastAsia="方正楷体_GBK"/>
          <w:sz w:val="32"/>
          <w:szCs w:val="32"/>
        </w:rPr>
        <w:t>第一部分：202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一、单位基本情况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二、</w:t>
      </w:r>
      <w:r>
        <w:rPr>
          <w:rFonts w:hint="eastAsia" w:eastAsia="方正仿宋_GBK"/>
          <w:sz w:val="32"/>
          <w:szCs w:val="32"/>
          <w:lang w:val="en-US" w:eastAsia="zh-CN"/>
        </w:rPr>
        <w:t>单位</w:t>
      </w:r>
      <w:r>
        <w:rPr>
          <w:rFonts w:eastAsia="方正仿宋_GBK"/>
          <w:sz w:val="32"/>
          <w:szCs w:val="32"/>
        </w:rPr>
        <w:t>收支总体情况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三、</w:t>
      </w:r>
      <w:r>
        <w:rPr>
          <w:rFonts w:hint="eastAsia" w:eastAsia="方正仿宋_GBK"/>
          <w:sz w:val="32"/>
          <w:szCs w:val="32"/>
          <w:lang w:val="en-US" w:eastAsia="zh-CN"/>
        </w:rPr>
        <w:t>单位</w:t>
      </w:r>
      <w:r>
        <w:rPr>
          <w:rFonts w:eastAsia="方正仿宋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五、其他重要事项的情况说明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六、专业性名词解释</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p>
    <w:p>
      <w:pPr>
        <w:keepNext w:val="0"/>
        <w:keepLines w:val="0"/>
        <w:pageBreakBefore w:val="0"/>
        <w:widowControl w:val="0"/>
        <w:kinsoku/>
        <w:wordWrap/>
        <w:overflowPunct/>
        <w:topLinePunct w:val="0"/>
        <w:bidi w:val="0"/>
        <w:snapToGrid/>
        <w:spacing w:line="560" w:lineRule="exact"/>
        <w:jc w:val="center"/>
        <w:textAlignment w:val="auto"/>
      </w:pPr>
      <w:r>
        <w:rPr>
          <w:rFonts w:eastAsia="方正楷体_GBK"/>
          <w:sz w:val="32"/>
          <w:szCs w:val="32"/>
        </w:rPr>
        <w:t>第二部分：202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w:t>
      </w:r>
      <w:r>
        <w:rPr>
          <w:rFonts w:hint="eastAsia" w:eastAsia="方正楷体_GBK"/>
          <w:sz w:val="32"/>
          <w:szCs w:val="32"/>
        </w:rPr>
        <w:t>公开报</w:t>
      </w:r>
      <w:r>
        <w:rPr>
          <w:rFonts w:eastAsia="方正楷体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w:t>
      </w:r>
      <w:r>
        <w:rPr>
          <w:rFonts w:hint="eastAsia" w:eastAsia="方正仿宋_GBK"/>
          <w:sz w:val="32"/>
          <w:szCs w:val="32"/>
          <w:lang w:val="en-US" w:eastAsia="zh-CN"/>
        </w:rPr>
        <w:t>重庆市开州区白桥镇人民政府（本级）</w:t>
      </w:r>
      <w:r>
        <w:rPr>
          <w:rFonts w:hint="eastAsia" w:eastAsia="方正仿宋_GBK"/>
          <w:sz w:val="32"/>
          <w:szCs w:val="32"/>
        </w:rPr>
        <w:t>收支预算总表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表2、</w:t>
      </w:r>
      <w:r>
        <w:rPr>
          <w:rFonts w:hint="eastAsia" w:eastAsia="方正仿宋_GBK"/>
          <w:sz w:val="32"/>
          <w:szCs w:val="32"/>
          <w:lang w:val="en-US" w:eastAsia="zh-CN"/>
        </w:rPr>
        <w:t>重庆市开州区白桥镇人民政府（本级）</w:t>
      </w:r>
      <w:r>
        <w:rPr>
          <w:rFonts w:eastAsia="方正仿宋_GBK"/>
          <w:sz w:val="32"/>
          <w:szCs w:val="32"/>
        </w:rPr>
        <w:t>收入总表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表3、</w:t>
      </w:r>
      <w:r>
        <w:rPr>
          <w:rFonts w:hint="eastAsia" w:eastAsia="方正仿宋_GBK"/>
          <w:sz w:val="32"/>
          <w:szCs w:val="32"/>
          <w:lang w:val="en-US" w:eastAsia="zh-CN"/>
        </w:rPr>
        <w:t>重庆市开州区白桥镇人民政府（本级）</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表4、</w:t>
      </w:r>
      <w:r>
        <w:rPr>
          <w:rFonts w:hint="eastAsia" w:eastAsia="方正仿宋_GBK"/>
          <w:sz w:val="32"/>
          <w:szCs w:val="32"/>
          <w:lang w:val="en-US" w:eastAsia="zh-CN"/>
        </w:rPr>
        <w:t>重庆市开州区白桥镇人民政府（本级）</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表5、</w:t>
      </w:r>
      <w:r>
        <w:rPr>
          <w:rFonts w:hint="eastAsia" w:eastAsia="方正仿宋_GBK"/>
          <w:sz w:val="32"/>
          <w:szCs w:val="32"/>
          <w:lang w:val="en-US" w:eastAsia="zh-CN"/>
        </w:rPr>
        <w:t>重庆市开州区白桥镇人民政府（本级）</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表6、</w:t>
      </w:r>
      <w:r>
        <w:rPr>
          <w:rFonts w:hint="eastAsia" w:eastAsia="方正仿宋_GBK"/>
          <w:sz w:val="32"/>
          <w:szCs w:val="32"/>
          <w:lang w:val="en-US" w:eastAsia="zh-CN"/>
        </w:rPr>
        <w:t>重庆市开州区白桥镇人民政府（本级）</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表7、</w:t>
      </w:r>
      <w:r>
        <w:rPr>
          <w:rFonts w:hint="eastAsia" w:eastAsia="方正仿宋_GBK"/>
          <w:sz w:val="32"/>
          <w:szCs w:val="32"/>
          <w:lang w:val="en-US" w:eastAsia="zh-CN"/>
        </w:rPr>
        <w:t>重庆市开州区白桥镇人民政府（本级）</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表8、</w:t>
      </w:r>
      <w:r>
        <w:rPr>
          <w:rFonts w:hint="eastAsia" w:eastAsia="方正仿宋_GBK"/>
          <w:sz w:val="32"/>
          <w:szCs w:val="32"/>
          <w:lang w:val="en-US" w:eastAsia="zh-CN"/>
        </w:rPr>
        <w:t>重庆市开州区白桥镇人民政府（本级）</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表9、</w:t>
      </w:r>
      <w:r>
        <w:rPr>
          <w:rFonts w:hint="eastAsia" w:eastAsia="方正仿宋_GBK"/>
          <w:sz w:val="32"/>
          <w:szCs w:val="32"/>
          <w:lang w:val="en-US" w:eastAsia="zh-CN"/>
        </w:rPr>
        <w:t>重庆市开州区白桥镇人民政府（本级）</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表10、</w:t>
      </w:r>
      <w:r>
        <w:rPr>
          <w:rFonts w:hint="eastAsia" w:eastAsia="方正仿宋_GBK"/>
          <w:sz w:val="32"/>
          <w:szCs w:val="32"/>
          <w:lang w:val="en-US" w:eastAsia="zh-CN"/>
        </w:rPr>
        <w:t>重庆市开州区白桥镇人民政府（本级）</w:t>
      </w:r>
      <w:r>
        <w:rPr>
          <w:rFonts w:eastAsia="方正仿宋_GBK"/>
          <w:sz w:val="32"/>
          <w:szCs w:val="32"/>
        </w:rPr>
        <w:t>项目支出表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表11</w:t>
      </w:r>
      <w:r>
        <w:rPr>
          <w:rFonts w:hint="eastAsia" w:eastAsia="方正仿宋_GBK"/>
          <w:sz w:val="32"/>
          <w:szCs w:val="32"/>
          <w:lang w:eastAsia="zh-CN"/>
        </w:rPr>
        <w:t>、</w:t>
      </w:r>
      <w:r>
        <w:rPr>
          <w:rFonts w:hint="eastAsia" w:eastAsia="方正仿宋_GBK"/>
          <w:sz w:val="32"/>
          <w:szCs w:val="32"/>
        </w:rPr>
        <w:t>202</w:t>
      </w:r>
      <w:r>
        <w:rPr>
          <w:rFonts w:hint="eastAsia" w:eastAsia="方正仿宋_GBK"/>
          <w:sz w:val="32"/>
          <w:szCs w:val="32"/>
          <w:lang w:val="en-US" w:eastAsia="zh-CN"/>
        </w:rPr>
        <w:t>6</w:t>
      </w:r>
      <w:r>
        <w:rPr>
          <w:rFonts w:hint="eastAsia" w:eastAsia="方正仿宋_GBK"/>
          <w:sz w:val="32"/>
          <w:szCs w:val="32"/>
        </w:rPr>
        <w:t>年</w:t>
      </w:r>
      <w:r>
        <w:rPr>
          <w:rFonts w:hint="eastAsia" w:eastAsia="方正仿宋_GBK"/>
          <w:sz w:val="32"/>
          <w:szCs w:val="32"/>
          <w:lang w:val="en-US" w:eastAsia="zh-CN"/>
        </w:rPr>
        <w:t>重庆市开州区白桥镇人民政府（本级）</w:t>
      </w:r>
      <w:r>
        <w:rPr>
          <w:rFonts w:eastAsia="方正仿宋_GBK"/>
          <w:sz w:val="32"/>
          <w:szCs w:val="32"/>
        </w:rPr>
        <w:t>项目绩效目标表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第一部分：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预算情况说明</w:t>
      </w:r>
    </w:p>
    <w:p>
      <w:pPr>
        <w:keepNext w:val="0"/>
        <w:keepLines w:val="0"/>
        <w:pageBreakBefore w:val="0"/>
        <w:widowControl w:val="0"/>
        <w:kinsoku/>
        <w:wordWrap/>
        <w:overflowPunct/>
        <w:topLinePunct w:val="0"/>
        <w:bidi w:val="0"/>
        <w:snapToGrid/>
        <w:spacing w:line="560" w:lineRule="exact"/>
        <w:ind w:firstLine="880" w:firstLineChars="200"/>
        <w:jc w:val="both"/>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我单位</w:t>
      </w:r>
      <w:r>
        <w:rPr>
          <w:rFonts w:hint="default" w:ascii="Times New Roman" w:hAnsi="Times New Roman" w:eastAsia="方正仿宋_GBK" w:cs="Times New Roman"/>
          <w:sz w:val="32"/>
        </w:rPr>
        <w:t>是基层乡镇级政权机构，所属辖区内</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个社区、</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个村委会；</w:t>
      </w:r>
      <w:r>
        <w:rPr>
          <w:rFonts w:hint="default" w:ascii="Times New Roman" w:hAnsi="Times New Roman" w:eastAsia="方正仿宋_GBK" w:cs="Times New Roman"/>
          <w:sz w:val="32"/>
          <w:highlight w:val="none"/>
          <w:lang w:val="en-US" w:eastAsia="zh-CN"/>
        </w:rPr>
        <w:t>82</w:t>
      </w:r>
      <w:r>
        <w:rPr>
          <w:rFonts w:hint="default" w:ascii="Times New Roman" w:hAnsi="Times New Roman" w:eastAsia="方正仿宋_GBK" w:cs="Times New Roman"/>
          <w:sz w:val="32"/>
          <w:highlight w:val="none"/>
        </w:rPr>
        <w:t>个村小组和</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个居民小组，</w:t>
      </w:r>
      <w:r>
        <w:rPr>
          <w:rFonts w:hint="default" w:ascii="Times New Roman" w:hAnsi="Times New Roman" w:eastAsia="方正仿宋_GBK" w:cs="Times New Roman"/>
          <w:sz w:val="32"/>
        </w:rPr>
        <w:t>主要职能是：</w:t>
      </w:r>
      <w:r>
        <w:rPr>
          <w:rFonts w:hint="default" w:ascii="Times New Roman" w:hAnsi="Times New Roman" w:eastAsia="方正仿宋_GBK" w:cs="Times New Roman"/>
          <w:sz w:val="32"/>
          <w:lang w:val="en-US" w:eastAsia="zh-CN"/>
        </w:rPr>
        <w:t>按照党中央关于深化地方机构改革的决策部署，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keepNext w:val="0"/>
        <w:keepLines w:val="0"/>
        <w:pageBreakBefore w:val="0"/>
        <w:widowControl w:val="0"/>
        <w:numPr>
          <w:ilvl w:val="0"/>
          <w:numId w:val="0"/>
        </w:numPr>
        <w:kinsoku/>
        <w:wordWrap/>
        <w:overflowPunct/>
        <w:topLinePunct w:val="0"/>
        <w:bidi w:val="0"/>
        <w:snapToGrid/>
        <w:spacing w:line="560" w:lineRule="exact"/>
        <w:ind w:left="630" w:leftChars="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内设机构的职能职责</w:t>
      </w:r>
      <w:r>
        <w:rPr>
          <w:rFonts w:hint="eastAsia" w:eastAsia="方正仿宋_GBK" w:cs="Times New Roman"/>
          <w:sz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30"/>
        <w:jc w:val="both"/>
        <w:textAlignment w:val="auto"/>
        <w:rPr>
          <w:rFonts w:hint="default" w:ascii="Times New Roman" w:hAnsi="Times New Roman" w:eastAsia="方正仿宋_GBK" w:cs="Times New Roman"/>
          <w:bCs/>
          <w:sz w:val="32"/>
          <w:szCs w:val="32"/>
          <w:lang w:val="zh-CN"/>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val="zh-CN"/>
        </w:rPr>
        <w:t>）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3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rPr>
        <w:t>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30"/>
        <w:jc w:val="both"/>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rPr>
        <w:t>我单位设置了</w:t>
      </w:r>
      <w:r>
        <w:rPr>
          <w:rFonts w:hint="eastAsia" w:eastAsia="方正仿宋_GBK" w:cs="Times New Roman"/>
          <w:sz w:val="32"/>
          <w:lang w:val="en-US" w:eastAsia="zh-CN"/>
        </w:rPr>
        <w:t>5</w:t>
      </w:r>
      <w:r>
        <w:rPr>
          <w:rFonts w:hint="default" w:ascii="Times New Roman" w:hAnsi="Times New Roman" w:eastAsia="方正仿宋_GBK" w:cs="Times New Roman"/>
          <w:sz w:val="32"/>
        </w:rPr>
        <w:t>个内设机构：</w:t>
      </w:r>
      <w:r>
        <w:rPr>
          <w:rFonts w:hint="default" w:ascii="Times New Roman" w:hAnsi="Times New Roman" w:eastAsia="方正仿宋_GBK" w:cs="Times New Roman"/>
          <w:sz w:val="32"/>
          <w:lang w:val="en-US" w:eastAsia="zh-CN"/>
        </w:rPr>
        <w:t>1. 开州区白桥镇基层治理综合指挥室</w:t>
      </w:r>
      <w:r>
        <w:rPr>
          <w:rFonts w:hint="default" w:ascii="Times New Roman" w:hAnsi="Times New Roman" w:eastAsia="方正仿宋_GBK" w:cs="Times New Roman"/>
          <w:bCs/>
          <w:sz w:val="32"/>
          <w:szCs w:val="32"/>
          <w:lang w:val="zh-CN"/>
        </w:rPr>
        <w:t>；</w:t>
      </w:r>
      <w:r>
        <w:rPr>
          <w:rFonts w:hint="default" w:ascii="Times New Roman" w:hAnsi="Times New Roman" w:eastAsia="方正仿宋_GBK" w:cs="Times New Roman"/>
          <w:bCs/>
          <w:sz w:val="32"/>
          <w:szCs w:val="32"/>
          <w:lang w:val="en-US" w:eastAsia="zh-CN"/>
        </w:rPr>
        <w:t xml:space="preserve">2. </w:t>
      </w:r>
      <w:r>
        <w:rPr>
          <w:rFonts w:hint="default" w:ascii="Times New Roman" w:hAnsi="Times New Roman" w:eastAsia="方正仿宋_GBK" w:cs="Times New Roman"/>
          <w:sz w:val="32"/>
          <w:lang w:val="en-US" w:eastAsia="zh-CN"/>
        </w:rPr>
        <w:t>开州区白桥镇党的建设办公室</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3. </w:t>
      </w:r>
      <w:r>
        <w:rPr>
          <w:rFonts w:hint="default" w:ascii="Times New Roman" w:hAnsi="Times New Roman" w:eastAsia="方正仿宋_GBK" w:cs="Times New Roman"/>
          <w:sz w:val="32"/>
          <w:lang w:val="en-US" w:eastAsia="zh-CN"/>
        </w:rPr>
        <w:t>开州区白桥镇经济发展办公室</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4. </w:t>
      </w:r>
      <w:r>
        <w:rPr>
          <w:rFonts w:hint="default" w:ascii="Times New Roman" w:hAnsi="Times New Roman" w:eastAsia="方正仿宋_GBK" w:cs="Times New Roman"/>
          <w:sz w:val="32"/>
          <w:lang w:val="en-US" w:eastAsia="zh-CN"/>
        </w:rPr>
        <w:t>开州区白桥镇民生服务办公室</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 xml:space="preserve">5. </w:t>
      </w:r>
      <w:r>
        <w:rPr>
          <w:rFonts w:hint="default" w:ascii="Times New Roman" w:hAnsi="Times New Roman" w:eastAsia="方正仿宋_GBK" w:cs="Times New Roman"/>
          <w:sz w:val="32"/>
          <w:lang w:val="en-US" w:eastAsia="zh-CN"/>
        </w:rPr>
        <w:t>开州区白桥镇平安法治办公室</w:t>
      </w:r>
      <w:r>
        <w:rPr>
          <w:rFonts w:hint="default" w:ascii="Times New Roman" w:hAnsi="Times New Roman" w:eastAsia="方正仿宋_GBK" w:cs="Times New Roman"/>
          <w:bCs/>
          <w:sz w:val="32"/>
          <w:szCs w:val="32"/>
          <w:lang w:eastAsia="zh-CN"/>
        </w:rPr>
        <w:t>。</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下属</w:t>
      </w:r>
      <w:r>
        <w:rPr>
          <w:rFonts w:hint="default" w:ascii="Times New Roman" w:hAnsi="Times New Roman" w:eastAsia="方正仿宋_GBK" w:cs="Times New Roman"/>
          <w:sz w:val="32"/>
          <w:lang w:val="en-US" w:eastAsia="zh-CN"/>
        </w:rPr>
        <w:t>无</w:t>
      </w:r>
      <w:r>
        <w:rPr>
          <w:rFonts w:hint="default" w:ascii="Times New Roman" w:hAnsi="Times New Roman" w:eastAsia="方正仿宋_GBK" w:cs="Times New Roman"/>
          <w:sz w:val="32"/>
        </w:rPr>
        <w:t>二级预算单位</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二、单位收支总体情况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1483.53</w:t>
      </w:r>
      <w:r>
        <w:rPr>
          <w:rFonts w:hint="default" w:ascii="Times New Roman" w:hAnsi="Times New Roman" w:eastAsia="方正仿宋_GBK" w:cs="Times New Roman"/>
          <w:color w:val="auto"/>
          <w:sz w:val="32"/>
        </w:rPr>
        <w:t>万元，其中：一般公共预算拨款</w:t>
      </w:r>
      <w:r>
        <w:rPr>
          <w:rFonts w:hint="eastAsia" w:eastAsia="方正仿宋_GBK" w:cs="Times New Roman"/>
          <w:color w:val="auto"/>
          <w:sz w:val="32"/>
          <w:lang w:val="en-US" w:eastAsia="zh-CN"/>
        </w:rPr>
        <w:t>1419.29</w:t>
      </w:r>
      <w:r>
        <w:rPr>
          <w:rFonts w:hint="default" w:ascii="Times New Roman" w:hAnsi="Times New Roman" w:eastAsia="方正仿宋_GBK" w:cs="Times New Roman"/>
          <w:color w:val="auto"/>
          <w:sz w:val="32"/>
        </w:rPr>
        <w:t>万元</w:t>
      </w:r>
      <w:r>
        <w:rPr>
          <w:rFonts w:hint="eastAsia" w:eastAsia="方正仿宋_GBK" w:cs="Times New Roman"/>
          <w:color w:val="auto"/>
          <w:sz w:val="32"/>
          <w:lang w:eastAsia="zh-CN"/>
        </w:rPr>
        <w:t>，</w:t>
      </w:r>
      <w:r>
        <w:rPr>
          <w:rFonts w:hint="eastAsia" w:eastAsia="方正仿宋_GBK" w:cs="Times New Roman"/>
          <w:color w:val="auto"/>
          <w:sz w:val="32"/>
          <w:lang w:val="en-US" w:eastAsia="zh-CN"/>
        </w:rPr>
        <w:t>上年结转结余64.24元</w:t>
      </w:r>
      <w:r>
        <w:rPr>
          <w:rFonts w:hint="default" w:ascii="Times New Roman" w:hAnsi="Times New Roman"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sz w:val="32"/>
        </w:rPr>
        <w:t>（二）</w:t>
      </w:r>
      <w:r>
        <w:rPr>
          <w:rFonts w:hint="default" w:ascii="Times New Roman" w:hAnsi="Times New Roman" w:eastAsia="方正楷体_GBK" w:cs="Times New Roman"/>
          <w:color w:val="auto"/>
          <w:sz w:val="32"/>
        </w:rPr>
        <w:t>支出预算：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1483.53</w:t>
      </w:r>
      <w:r>
        <w:rPr>
          <w:rFonts w:hint="default" w:ascii="Times New Roman" w:hAnsi="Times New Roman" w:eastAsia="方正仿宋_GBK" w:cs="Times New Roman"/>
          <w:color w:val="auto"/>
          <w:sz w:val="32"/>
        </w:rPr>
        <w:t>万元，其中：一般公共服务支出预算</w:t>
      </w:r>
      <w:r>
        <w:rPr>
          <w:rFonts w:hint="eastAsia" w:eastAsia="方正仿宋_GBK" w:cs="Times New Roman"/>
          <w:color w:val="auto"/>
          <w:sz w:val="32"/>
          <w:lang w:val="en-US" w:eastAsia="zh-CN"/>
        </w:rPr>
        <w:t>432.76</w:t>
      </w:r>
      <w:r>
        <w:rPr>
          <w:rFonts w:hint="default" w:ascii="Times New Roman" w:hAnsi="Times New Roman" w:eastAsia="方正仿宋_GBK" w:cs="Times New Roman"/>
          <w:color w:val="auto"/>
          <w:sz w:val="32"/>
        </w:rPr>
        <w:t>万元，社会保障和就业支出预算</w:t>
      </w:r>
      <w:r>
        <w:rPr>
          <w:rFonts w:hint="eastAsia" w:eastAsia="方正仿宋_GBK" w:cs="Times New Roman"/>
          <w:color w:val="auto"/>
          <w:sz w:val="32"/>
          <w:lang w:val="en-US" w:eastAsia="zh-CN"/>
        </w:rPr>
        <w:t>86.77</w:t>
      </w:r>
      <w:r>
        <w:rPr>
          <w:rFonts w:hint="default" w:ascii="Times New Roman" w:hAnsi="Times New Roman" w:eastAsia="方正仿宋_GBK" w:cs="Times New Roman"/>
          <w:color w:val="auto"/>
          <w:sz w:val="32"/>
        </w:rPr>
        <w:t>万元，卫生健康支出预算</w:t>
      </w:r>
      <w:r>
        <w:rPr>
          <w:rFonts w:hint="eastAsia" w:eastAsia="方正仿宋_GBK" w:cs="Times New Roman"/>
          <w:color w:val="auto"/>
          <w:sz w:val="32"/>
          <w:lang w:val="en-US" w:eastAsia="zh-CN"/>
        </w:rPr>
        <w:t>35.71</w:t>
      </w:r>
      <w:r>
        <w:rPr>
          <w:rFonts w:hint="default" w:ascii="Times New Roman" w:hAnsi="Times New Roman" w:eastAsia="方正仿宋_GBK" w:cs="Times New Roman"/>
          <w:color w:val="auto"/>
          <w:sz w:val="32"/>
        </w:rPr>
        <w:t>万元，节能环保支出</w:t>
      </w:r>
      <w:r>
        <w:rPr>
          <w:rFonts w:hint="default" w:ascii="Times New Roman" w:hAnsi="Times New Roman" w:eastAsia="方正仿宋_GBK" w:cs="Times New Roman"/>
          <w:color w:val="auto"/>
          <w:sz w:val="32"/>
          <w:lang w:val="en-US" w:eastAsia="zh-CN"/>
        </w:rPr>
        <w:t>预算</w:t>
      </w:r>
      <w:r>
        <w:rPr>
          <w:rFonts w:hint="eastAsia" w:eastAsia="方正仿宋_GBK" w:cs="Times New Roman"/>
          <w:color w:val="auto"/>
          <w:sz w:val="32"/>
          <w:lang w:val="en-US" w:eastAsia="zh-CN"/>
        </w:rPr>
        <w:t>164.43</w:t>
      </w:r>
      <w:r>
        <w:rPr>
          <w:rFonts w:hint="default" w:ascii="Times New Roman" w:hAnsi="Times New Roman" w:eastAsia="方正仿宋_GBK" w:cs="Times New Roman"/>
          <w:color w:val="auto"/>
          <w:sz w:val="32"/>
          <w:lang w:val="en-US" w:eastAsia="zh-CN"/>
        </w:rPr>
        <w:t>万元，</w:t>
      </w:r>
      <w:r>
        <w:rPr>
          <w:rFonts w:hint="eastAsia" w:eastAsia="方正仿宋_GBK" w:cs="Times New Roman"/>
          <w:color w:val="auto"/>
          <w:sz w:val="32"/>
          <w:lang w:val="en-US" w:eastAsia="zh-CN"/>
        </w:rPr>
        <w:t>城乡社区支出预算38.6万元，农</w:t>
      </w:r>
      <w:r>
        <w:rPr>
          <w:rFonts w:hint="default" w:ascii="Times New Roman" w:hAnsi="Times New Roman" w:eastAsia="方正仿宋_GBK" w:cs="Times New Roman"/>
          <w:color w:val="auto"/>
          <w:sz w:val="32"/>
          <w:lang w:val="en-US" w:eastAsia="zh-CN"/>
        </w:rPr>
        <w:t>林水支出预算</w:t>
      </w:r>
      <w:r>
        <w:rPr>
          <w:rFonts w:hint="eastAsia" w:eastAsia="方正仿宋_GBK" w:cs="Times New Roman"/>
          <w:color w:val="auto"/>
          <w:sz w:val="32"/>
          <w:lang w:val="en-US" w:eastAsia="zh-CN"/>
        </w:rPr>
        <w:t>687.30</w:t>
      </w:r>
      <w:r>
        <w:rPr>
          <w:rFonts w:hint="default" w:ascii="Times New Roman" w:hAnsi="Times New Roman" w:eastAsia="方正仿宋_GBK" w:cs="Times New Roman"/>
          <w:color w:val="auto"/>
          <w:sz w:val="32"/>
          <w:lang w:val="en-US" w:eastAsia="zh-CN"/>
        </w:rPr>
        <w:t>万元，</w:t>
      </w:r>
      <w:r>
        <w:rPr>
          <w:rFonts w:hint="default" w:ascii="Times New Roman" w:hAnsi="Times New Roman" w:eastAsia="方正仿宋_GBK" w:cs="Times New Roman"/>
          <w:color w:val="auto"/>
          <w:sz w:val="32"/>
        </w:rPr>
        <w:t>住房保障支出预算</w:t>
      </w:r>
      <w:r>
        <w:rPr>
          <w:rFonts w:hint="eastAsia" w:eastAsia="方正仿宋_GBK" w:cs="Times New Roman"/>
          <w:color w:val="auto"/>
          <w:sz w:val="32"/>
          <w:lang w:val="en-US" w:eastAsia="zh-CN"/>
        </w:rPr>
        <w:t>37.96</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w:t>
      </w:r>
      <w:r>
        <w:rPr>
          <w:rFonts w:hint="eastAsia" w:eastAsia="方正黑体_GBK" w:cs="Times New Roman"/>
          <w:sz w:val="32"/>
          <w:lang w:val="en-US" w:eastAsia="zh-CN"/>
        </w:rPr>
        <w:t>单位</w:t>
      </w:r>
      <w:r>
        <w:rPr>
          <w:rFonts w:hint="default" w:ascii="Times New Roman" w:hAnsi="Times New Roman" w:eastAsia="方正黑体_GBK" w:cs="Times New Roman"/>
          <w:sz w:val="32"/>
        </w:rPr>
        <w:t>预算情况说明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eastAsia="方正仿宋_GBK" w:cs="Times New Roman"/>
          <w:sz w:val="32"/>
          <w:lang w:val="en-US"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w:t>
      </w:r>
      <w:r>
        <w:rPr>
          <w:rFonts w:hint="eastAsia" w:eastAsia="方正仿宋_GBK" w:cs="Times New Roman"/>
          <w:sz w:val="32"/>
          <w:lang w:val="en-US" w:eastAsia="zh-CN"/>
        </w:rPr>
        <w:t>一</w:t>
      </w:r>
      <w:r>
        <w:rPr>
          <w:rFonts w:hint="default" w:ascii="Times New Roman" w:hAnsi="Times New Roman" w:eastAsia="方正仿宋_GBK" w:cs="Times New Roman"/>
          <w:sz w:val="32"/>
        </w:rPr>
        <w:t>般公共预算财政拨款收入</w:t>
      </w:r>
      <w:r>
        <w:rPr>
          <w:rFonts w:hint="eastAsia" w:eastAsia="方正仿宋_GBK" w:cs="Times New Roman"/>
          <w:sz w:val="32"/>
          <w:lang w:val="en-US" w:eastAsia="zh-CN"/>
        </w:rPr>
        <w:t>1483.53</w:t>
      </w:r>
      <w:r>
        <w:rPr>
          <w:rFonts w:hint="default" w:ascii="Times New Roman" w:hAnsi="Times New Roman" w:eastAsia="方正仿宋_GBK" w:cs="Times New Roman"/>
          <w:sz w:val="32"/>
        </w:rPr>
        <w:t>万元，一般公共预算财政拨款支出</w:t>
      </w:r>
      <w:r>
        <w:rPr>
          <w:rFonts w:hint="eastAsia" w:eastAsia="方正仿宋_GBK" w:cs="Times New Roman"/>
          <w:sz w:val="32"/>
          <w:lang w:val="en-US" w:eastAsia="zh-CN"/>
        </w:rPr>
        <w:t>1483.53</w:t>
      </w:r>
      <w:r>
        <w:rPr>
          <w:rFonts w:hint="default" w:ascii="Times New Roman" w:hAnsi="Times New Roman" w:eastAsia="方正仿宋_GBK" w:cs="Times New Roman"/>
          <w:sz w:val="32"/>
        </w:rPr>
        <w:t>万元。其中：基本支出</w:t>
      </w:r>
      <w:r>
        <w:rPr>
          <w:rFonts w:hint="eastAsia" w:eastAsia="方正仿宋_GBK" w:cs="Times New Roman"/>
          <w:sz w:val="32"/>
          <w:lang w:val="en-US" w:eastAsia="zh-CN"/>
        </w:rPr>
        <w:t>987.95</w:t>
      </w:r>
      <w:r>
        <w:rPr>
          <w:rFonts w:hint="default" w:ascii="Times New Roman" w:hAnsi="Times New Roman" w:eastAsia="方正仿宋_GBK" w:cs="Times New Roman"/>
          <w:sz w:val="32"/>
        </w:rPr>
        <w:t>万元，主要用于保障</w:t>
      </w:r>
      <w:r>
        <w:rPr>
          <w:rFonts w:hint="eastAsia" w:eastAsia="方正仿宋_GBK" w:cs="Times New Roman"/>
          <w:sz w:val="32"/>
          <w:lang w:val="en-US" w:eastAsia="zh-CN"/>
        </w:rPr>
        <w:t>机关</w:t>
      </w:r>
      <w:r>
        <w:rPr>
          <w:rFonts w:hint="default" w:ascii="Times New Roman" w:hAnsi="Times New Roman" w:eastAsia="方正仿宋_GBK" w:cs="Times New Roman"/>
          <w:sz w:val="32"/>
        </w:rPr>
        <w:t>在职人员工资福利及社会保险缴费，退休人员补助等，保障部门正常运转的各项商品服务支出；项目支出</w:t>
      </w:r>
      <w:r>
        <w:rPr>
          <w:rFonts w:hint="eastAsia" w:eastAsia="方正仿宋_GBK" w:cs="Times New Roman"/>
          <w:sz w:val="32"/>
          <w:lang w:val="en-US" w:eastAsia="zh-CN"/>
        </w:rPr>
        <w:t>495.58</w:t>
      </w:r>
      <w:r>
        <w:rPr>
          <w:rFonts w:hint="default" w:ascii="Times New Roman" w:hAnsi="Times New Roman" w:eastAsia="方正仿宋_GBK" w:cs="Times New Roman"/>
          <w:sz w:val="32"/>
        </w:rPr>
        <w:t>万元，</w:t>
      </w:r>
      <w:r>
        <w:rPr>
          <w:rFonts w:hint="eastAsia" w:eastAsia="方正仿宋_GBK" w:cs="Times New Roman"/>
          <w:sz w:val="32"/>
          <w:lang w:val="en-US" w:eastAsia="zh-CN"/>
        </w:rPr>
        <w:t>其中：</w:t>
      </w:r>
      <w:r>
        <w:rPr>
          <w:rFonts w:hint="default" w:ascii="Times New Roman" w:hAnsi="Times New Roman" w:eastAsia="方正仿宋_GBK" w:cs="Times New Roman"/>
          <w:color w:val="auto"/>
          <w:sz w:val="32"/>
        </w:rPr>
        <w:t>一般公共预算拨款</w:t>
      </w:r>
      <w:r>
        <w:rPr>
          <w:rFonts w:hint="eastAsia" w:eastAsia="方正仿宋_GBK" w:cs="Times New Roman"/>
          <w:color w:val="auto"/>
          <w:sz w:val="32"/>
          <w:lang w:val="en-US" w:eastAsia="zh-CN"/>
        </w:rPr>
        <w:t>431.34</w:t>
      </w:r>
      <w:r>
        <w:rPr>
          <w:rFonts w:hint="default" w:ascii="Times New Roman" w:hAnsi="Times New Roman" w:eastAsia="方正仿宋_GBK" w:cs="Times New Roman"/>
          <w:color w:val="auto"/>
          <w:sz w:val="32"/>
        </w:rPr>
        <w:t>万元</w:t>
      </w:r>
      <w:r>
        <w:rPr>
          <w:rFonts w:hint="eastAsia" w:eastAsia="方正仿宋_GBK" w:cs="Times New Roman"/>
          <w:color w:val="auto"/>
          <w:sz w:val="32"/>
          <w:lang w:eastAsia="zh-CN"/>
        </w:rPr>
        <w:t>，</w:t>
      </w:r>
      <w:r>
        <w:rPr>
          <w:rFonts w:hint="eastAsia" w:eastAsia="方正仿宋_GBK" w:cs="Times New Roman"/>
          <w:color w:val="auto"/>
          <w:sz w:val="32"/>
          <w:lang w:val="en-US" w:eastAsia="zh-CN"/>
        </w:rPr>
        <w:t>上年结转结余64.24元。因2025年部门是编制的整体预算，2026年预算采取分二级单位的形式编制部门预算和单位预算，故不能作对比。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年“三公”经费预算</w:t>
      </w:r>
      <w:r>
        <w:rPr>
          <w:rFonts w:hint="eastAsia" w:eastAsia="方正仿宋_GBK" w:cs="Times New Roman"/>
          <w:sz w:val="32"/>
          <w:lang w:val="en-US" w:eastAsia="zh-CN"/>
        </w:rPr>
        <w:t>5</w:t>
      </w:r>
      <w:r>
        <w:rPr>
          <w:rFonts w:hint="default" w:ascii="Times New Roman" w:hAnsi="Times New Roman" w:eastAsia="方正仿宋_GBK" w:cs="Times New Roman"/>
          <w:sz w:val="32"/>
        </w:rPr>
        <w:t>万元</w:t>
      </w:r>
      <w:r>
        <w:rPr>
          <w:rFonts w:hint="eastAsia" w:eastAsia="方正仿宋_GBK" w:cs="Times New Roman"/>
          <w:sz w:val="32"/>
          <w:lang w:eastAsia="zh-CN"/>
        </w:rPr>
        <w:t>，</w:t>
      </w:r>
      <w:r>
        <w:rPr>
          <w:rFonts w:hint="default" w:ascii="Times New Roman" w:hAnsi="Times New Roman" w:eastAsia="方正仿宋_GBK" w:cs="Times New Roman"/>
          <w:sz w:val="32"/>
        </w:rPr>
        <w:t>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万元，公务接待费</w:t>
      </w:r>
      <w:r>
        <w:rPr>
          <w:rFonts w:hint="eastAsia" w:eastAsia="方正仿宋_GBK" w:cs="Times New Roman"/>
          <w:sz w:val="32"/>
          <w:lang w:val="en-US" w:eastAsia="zh-CN"/>
        </w:rPr>
        <w:t>1</w:t>
      </w:r>
      <w:r>
        <w:rPr>
          <w:rFonts w:hint="default" w:ascii="Times New Roman" w:hAnsi="Times New Roman" w:eastAsia="方正仿宋_GBK" w:cs="Times New Roman"/>
          <w:sz w:val="32"/>
        </w:rPr>
        <w:t>万元，公务用车运行维护费</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万元，</w:t>
      </w:r>
      <w:r>
        <w:rPr>
          <w:rFonts w:hint="default" w:ascii="Times New Roman" w:hAnsi="Times New Roman" w:eastAsia="方正仿宋_GBK" w:cs="Times New Roman"/>
          <w:i w:val="0"/>
          <w:iCs w:val="0"/>
          <w:caps w:val="0"/>
          <w:color w:val="000000"/>
          <w:spacing w:val="0"/>
          <w:sz w:val="32"/>
          <w:szCs w:val="32"/>
          <w:shd w:val="clear" w:color="auto" w:fill="FFFFFF"/>
        </w:rPr>
        <w:t>公务用车购置费0万元</w:t>
      </w:r>
      <w:r>
        <w:rPr>
          <w:rFonts w:hint="eastAsia" w:eastAsia="方正仿宋_GBK" w:cs="Times New Roman"/>
          <w:i w:val="0"/>
          <w:iCs w:val="0"/>
          <w:caps w:val="0"/>
          <w:color w:val="000000"/>
          <w:spacing w:val="0"/>
          <w:sz w:val="32"/>
          <w:szCs w:val="32"/>
          <w:shd w:val="clear" w:color="auto" w:fill="FFFFFF"/>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1、机关运行经费。</w:t>
      </w: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年一般公共预算财政拨款运行经费</w:t>
      </w:r>
      <w:r>
        <w:rPr>
          <w:rFonts w:hint="eastAsia" w:eastAsia="方正仿宋_GBK" w:cs="Times New Roman"/>
          <w:sz w:val="32"/>
          <w:lang w:val="en-US" w:eastAsia="zh-CN"/>
        </w:rPr>
        <w:t>467.4</w:t>
      </w:r>
      <w:r>
        <w:rPr>
          <w:rFonts w:hint="default" w:ascii="Times New Roman" w:hAnsi="Times New Roman" w:eastAsia="方正仿宋_GBK" w:cs="Times New Roman"/>
          <w:sz w:val="32"/>
        </w:rPr>
        <w:t>万元</w:t>
      </w:r>
      <w:r>
        <w:rPr>
          <w:rFonts w:hint="eastAsia" w:eastAsia="方正仿宋_GBK" w:cs="Times New Roman"/>
          <w:sz w:val="32"/>
          <w:lang w:eastAsia="zh-CN"/>
        </w:rPr>
        <w:t>，</w:t>
      </w:r>
      <w:r>
        <w:rPr>
          <w:rFonts w:hint="default" w:ascii="Times New Roman" w:hAnsi="Times New Roman" w:eastAsia="方正仿宋_GBK" w:cs="Times New Roman"/>
          <w:sz w:val="32"/>
        </w:rPr>
        <w:t>主要用于办公费、印刷费、邮电费、水电费、物管费、差旅费、会议费、培训费及其他商品和服务支出等。</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rPr>
        <w:t>所属各预算单位政府采购预算总额</w:t>
      </w:r>
      <w:r>
        <w:rPr>
          <w:rFonts w:hint="eastAsia" w:eastAsia="方正仿宋_GBK" w:cs="Times New Roman"/>
          <w:sz w:val="32"/>
          <w:lang w:val="en-US" w:eastAsia="zh-CN"/>
        </w:rPr>
        <w:t>8.97</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8.97</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eastAsia" w:eastAsia="方正仿宋_GBK" w:cs="Times New Roman"/>
          <w:sz w:val="32"/>
          <w:lang w:val="en-US" w:eastAsia="zh-CN"/>
        </w:rPr>
        <w:t>8.97</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8.97</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年项目支出均实行了绩效目标管理，涉及一般公共预算当年财政拨款</w:t>
      </w:r>
      <w:r>
        <w:rPr>
          <w:rFonts w:hint="eastAsia" w:eastAsia="方正仿宋_GBK" w:cs="Times New Roman"/>
          <w:color w:val="000000"/>
          <w:sz w:val="32"/>
          <w:lang w:val="en-US" w:eastAsia="zh-CN"/>
        </w:rPr>
        <w:t>431.34</w:t>
      </w:r>
      <w:r>
        <w:rPr>
          <w:rFonts w:hint="default" w:ascii="Times New Roman" w:hAnsi="Times New Roman" w:eastAsia="方正仿宋_GBK" w:cs="Times New Roman"/>
          <w:color w:val="000000"/>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eastAsia" w:ascii="Times New Roman" w:hAnsi="Times New Roman" w:eastAsia="方正仿宋_GBK" w:cs="Times New Roman"/>
          <w:b w:val="0"/>
          <w:bCs/>
          <w:color w:val="000000"/>
          <w:sz w:val="32"/>
          <w:lang w:eastAsia="zh-CN"/>
        </w:rPr>
        <w:t>截至</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eastAsia" w:eastAsia="方正仿宋_GBK" w:cs="Times New Roman"/>
          <w:color w:val="000000"/>
          <w:sz w:val="32"/>
          <w:lang w:val="en-US" w:eastAsia="zh-CN"/>
        </w:rPr>
        <w:t>3</w:t>
      </w:r>
      <w:r>
        <w:rPr>
          <w:rFonts w:hint="default" w:ascii="Times New Roman" w:hAnsi="Times New Roman" w:eastAsia="方正仿宋_GBK" w:cs="Times New Roman"/>
          <w:color w:val="000000"/>
          <w:sz w:val="32"/>
        </w:rPr>
        <w:t>辆，其中一般公务用车</w:t>
      </w:r>
      <w:r>
        <w:rPr>
          <w:rFonts w:hint="eastAsia" w:eastAsia="方正仿宋_GBK" w:cs="Times New Roman"/>
          <w:color w:val="000000"/>
          <w:sz w:val="32"/>
          <w:lang w:val="en-US" w:eastAsia="zh-CN"/>
        </w:rPr>
        <w:t>2</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val="en-US" w:eastAsia="zh-CN"/>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ascii="Times New Roman" w:hAnsi="Times New Roman" w:eastAsia="方正仿宋_GBK" w:cs="Times New Roman"/>
          <w:b w:val="0"/>
          <w:bCs/>
          <w:sz w:val="32"/>
          <w:lang w:val="en-US" w:eastAsia="zh-CN"/>
        </w:rPr>
        <w:t>202</w:t>
      </w:r>
      <w:r>
        <w:rPr>
          <w:rFonts w:hint="eastAsia" w:eastAsia="方正仿宋_GBK" w:cs="Times New Roman"/>
          <w:b w:val="0"/>
          <w:bCs/>
          <w:sz w:val="32"/>
          <w:lang w:val="en-US" w:eastAsia="zh-CN"/>
        </w:rPr>
        <w:t>6</w:t>
      </w:r>
      <w:r>
        <w:rPr>
          <w:rFonts w:hint="eastAsia" w:ascii="Times New Roman" w:hAnsi="Times New Roman" w:eastAsia="方正仿宋_GBK" w:cs="Times New Roman"/>
          <w:b w:val="0"/>
          <w:bCs/>
          <w:sz w:val="32"/>
          <w:lang w:val="en-US" w:eastAsia="zh-CN"/>
        </w:rPr>
        <w:t>年</w:t>
      </w:r>
      <w:r>
        <w:rPr>
          <w:rFonts w:hint="eastAsia" w:eastAsia="方正仿宋_GBK" w:cs="Times New Roman"/>
          <w:b w:val="0"/>
          <w:bCs/>
          <w:sz w:val="32"/>
          <w:lang w:val="en-US" w:eastAsia="zh-CN"/>
        </w:rPr>
        <w:t>单位</w:t>
      </w:r>
      <w:r>
        <w:rPr>
          <w:rFonts w:hint="eastAsia" w:ascii="Times New Roman" w:hAnsi="Times New Roman" w:eastAsia="方正仿宋_GBK" w:cs="Times New Roman"/>
          <w:b w:val="0"/>
          <w:bCs/>
          <w:sz w:val="32"/>
        </w:rPr>
        <w:t>预算</w:t>
      </w:r>
      <w:r>
        <w:rPr>
          <w:rFonts w:hint="eastAsia" w:ascii="Times New Roman" w:hAnsi="Times New Roman" w:eastAsia="方正仿宋_GBK" w:cs="Times New Roman"/>
          <w:b w:val="0"/>
          <w:bCs/>
          <w:sz w:val="32"/>
          <w:lang w:val="en-US" w:eastAsia="zh-CN"/>
        </w:rPr>
        <w:t>公开报表</w:t>
      </w:r>
      <w:r>
        <w:rPr>
          <w:rFonts w:hint="eastAsia" w:eastAsia="方正仿宋_GBK" w:cs="Times New Roman"/>
          <w:b w:val="0"/>
          <w:bCs/>
          <w:sz w:val="32"/>
          <w:lang w:val="en-US" w:eastAsia="zh-CN"/>
        </w:rPr>
        <w:t>（详见附表重庆市开州区白桥镇人民政府（本级）2026年单位预算公开报表）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eastAsia="方正仿宋_GBK" w:cs="Times New Roman"/>
          <w:b w:val="0"/>
          <w:bCs/>
          <w:sz w:val="32"/>
          <w:lang w:val="en-US" w:eastAsia="zh-CN"/>
        </w:rPr>
        <w:t>单位</w:t>
      </w:r>
      <w:r>
        <w:rPr>
          <w:rFonts w:hint="default" w:ascii="Times New Roman" w:hAnsi="Times New Roman" w:eastAsia="方正仿宋_GBK" w:cs="Times New Roman"/>
          <w:b w:val="0"/>
          <w:bCs/>
          <w:sz w:val="32"/>
        </w:rPr>
        <w:t>预算公开联系人：</w:t>
      </w:r>
      <w:r>
        <w:rPr>
          <w:rFonts w:hint="eastAsia" w:eastAsia="方正仿宋_GBK" w:cs="Times New Roman"/>
          <w:b w:val="0"/>
          <w:bCs/>
          <w:sz w:val="32"/>
          <w:lang w:val="en-US" w:eastAsia="zh-CN"/>
        </w:rPr>
        <w:t>黄云</w:t>
      </w:r>
      <w:r>
        <w:rPr>
          <w:rFonts w:hint="default" w:ascii="Times New Roman" w:hAnsi="Times New Roman" w:eastAsia="方正仿宋_GBK" w:cs="Times New Roman"/>
          <w:b w:val="0"/>
          <w:bCs/>
          <w:sz w:val="32"/>
        </w:rPr>
        <w:t xml:space="preserve"> 联系方式</w:t>
      </w:r>
      <w:r>
        <w:rPr>
          <w:rFonts w:hint="default" w:ascii="Times New Roman" w:hAnsi="Times New Roman" w:eastAsia="方正仿宋_GBK" w:cs="Times New Roman"/>
          <w:b w:val="0"/>
          <w:bCs/>
          <w:sz w:val="32"/>
          <w:lang w:eastAsia="zh-CN"/>
        </w:rPr>
        <w:t>：</w:t>
      </w:r>
      <w:r>
        <w:rPr>
          <w:rFonts w:hint="default" w:ascii="Times New Roman" w:hAnsi="Times New Roman" w:eastAsia="方正仿宋_GBK" w:cs="Times New Roman"/>
          <w:b w:val="0"/>
          <w:bCs/>
          <w:sz w:val="32"/>
          <w:lang w:val="en-US" w:eastAsia="zh-CN"/>
        </w:rPr>
        <w:t>023-52359128</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方正小标宋_GBK" w:hAnsi="方正小标宋_GBK" w:eastAsia="方正小标宋_GBK" w:cs="方正小标宋_GBK"/>
          <w:sz w:val="44"/>
          <w:szCs w:val="44"/>
          <w:lang w:val="en-US" w:eastAsia="zh-CN"/>
        </w:rPr>
      </w:pPr>
    </w:p>
    <w:p>
      <w:pPr>
        <w:pStyle w:val="5"/>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方正仿宋_GBK" w:cs="Times New Roman"/>
          <w:i w:val="0"/>
          <w:iCs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重庆市开州区白桥</w:t>
      </w:r>
      <w:r>
        <w:rPr>
          <w:rFonts w:hint="default" w:ascii="Times New Roman" w:hAnsi="Times New Roman" w:eastAsia="方正仿宋_GBK" w:cs="Times New Roman"/>
          <w:i w:val="0"/>
          <w:iCs w:val="0"/>
          <w:caps w:val="0"/>
          <w:color w:val="333333"/>
          <w:spacing w:val="0"/>
          <w:sz w:val="32"/>
          <w:szCs w:val="32"/>
        </w:rPr>
        <w:t>镇人民政府</w:t>
      </w:r>
    </w:p>
    <w:p>
      <w:pPr>
        <w:keepNext w:val="0"/>
        <w:keepLines w:val="0"/>
        <w:pageBreakBefore w:val="0"/>
        <w:widowControl w:val="0"/>
        <w:tabs>
          <w:tab w:val="left" w:pos="4986"/>
          <w:tab w:val="right" w:pos="8306"/>
        </w:tabs>
        <w:kinsoku/>
        <w:wordWrap/>
        <w:overflowPunct/>
        <w:topLinePunct w:val="0"/>
        <w:autoSpaceDE/>
        <w:autoSpaceDN/>
        <w:bidi w:val="0"/>
        <w:adjustRightInd/>
        <w:snapToGrid/>
        <w:spacing w:line="560" w:lineRule="exact"/>
        <w:ind w:firstLine="4800" w:firstLineChars="1500"/>
        <w:jc w:val="both"/>
        <w:textAlignment w:val="auto"/>
        <w:rPr>
          <w:rFonts w:hint="default" w:ascii="仿宋" w:hAnsi="仿宋" w:eastAsia="仿宋" w:cs="仿宋"/>
          <w:sz w:val="28"/>
          <w:szCs w:val="28"/>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ab/>
      </w: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keepNext w:val="0"/>
        <w:keepLines w:val="0"/>
        <w:pageBreakBefore w:val="0"/>
        <w:widowControl w:val="0"/>
        <w:kinsoku/>
        <w:wordWrap/>
        <w:overflowPunct/>
        <w:topLinePunct w:val="0"/>
        <w:bidi w:val="0"/>
        <w:snapToGrid/>
        <w:spacing w:line="560" w:lineRule="exact"/>
        <w:ind w:left="0" w:leftChars="0" w:firstLine="560" w:firstLineChars="200"/>
        <w:jc w:val="both"/>
        <w:textAlignment w:val="auto"/>
        <w:rPr>
          <w:rFonts w:hint="eastAsia" w:ascii="仿宋" w:hAnsi="仿宋" w:eastAsia="仿宋" w:cs="仿宋"/>
          <w:sz w:val="28"/>
          <w:szCs w:val="28"/>
        </w:rPr>
      </w:pPr>
      <w:bookmarkStart w:id="0" w:name="_GoBack"/>
      <w:bookmarkEnd w:id="0"/>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560" w:lineRule="exact"/>
        <w:ind w:left="0" w:leftChars="0" w:firstLine="280" w:firstLineChars="100"/>
        <w:jc w:val="both"/>
        <w:textAlignment w:val="auto"/>
        <w:rPr>
          <w:rFonts w:hint="default" w:ascii="方正仿宋_GBK" w:hAnsi="方正仿宋_GBK" w:eastAsia="方正仿宋_GBK" w:cs="方正仿宋_GBK"/>
          <w:color w:val="000000"/>
          <w:sz w:val="13"/>
          <w:szCs w:val="13"/>
          <w:lang w:val="en-US" w:eastAsia="zh-CN"/>
        </w:rPr>
      </w:pPr>
      <w:r>
        <w:rPr>
          <w:rFonts w:hint="default" w:ascii="Times New Roman" w:hAnsi="Times New Roman" w:eastAsia="方正仿宋_GBK" w:cs="Times New Roman"/>
          <w:w w:val="100"/>
          <w:kern w:val="2"/>
          <w:sz w:val="28"/>
          <w:szCs w:val="28"/>
          <w:lang w:val="en-US" w:eastAsia="zh-CN"/>
        </w:rPr>
        <w:t>重庆市开州区白桥镇基层治理综合指挥室</w:t>
      </w:r>
      <w:r>
        <w:rPr>
          <w:rFonts w:hint="eastAsia" w:ascii="Times New Roman" w:hAnsi="Times New Roman" w:eastAsia="方正仿宋_GBK" w:cs="Times New Roman"/>
          <w:w w:val="100"/>
          <w:kern w:val="2"/>
          <w:sz w:val="28"/>
          <w:szCs w:val="28"/>
          <w:lang w:val="en-US" w:eastAsia="zh-CN"/>
        </w:rPr>
        <w:t xml:space="preserve">    </w:t>
      </w:r>
      <w:r>
        <w:rPr>
          <w:rFonts w:hint="default" w:ascii="Times New Roman" w:hAnsi="Times New Roman" w:eastAsia="方正仿宋_GBK" w:cs="Times New Roman"/>
          <w:w w:val="100"/>
          <w:kern w:val="2"/>
          <w:sz w:val="28"/>
          <w:szCs w:val="28"/>
          <w:lang w:val="en-US" w:eastAsia="zh-CN"/>
        </w:rPr>
        <w:t>202</w:t>
      </w:r>
      <w:r>
        <w:rPr>
          <w:rFonts w:hint="eastAsia" w:ascii="Times New Roman" w:hAnsi="Times New Roman" w:eastAsia="方正仿宋_GBK" w:cs="Times New Roman"/>
          <w:w w:val="100"/>
          <w:kern w:val="2"/>
          <w:sz w:val="28"/>
          <w:szCs w:val="28"/>
          <w:lang w:val="en-US" w:eastAsia="zh-CN"/>
        </w:rPr>
        <w:t>6</w:t>
      </w:r>
      <w:r>
        <w:rPr>
          <w:rFonts w:hint="default" w:ascii="Times New Roman" w:hAnsi="Times New Roman" w:eastAsia="方正仿宋_GBK" w:cs="Times New Roman"/>
          <w:w w:val="100"/>
          <w:kern w:val="2"/>
          <w:sz w:val="28"/>
          <w:szCs w:val="28"/>
          <w:lang w:val="en-US" w:eastAsia="zh-CN"/>
        </w:rPr>
        <w:t>年</w:t>
      </w:r>
      <w:r>
        <w:rPr>
          <w:rFonts w:hint="eastAsia" w:ascii="Times New Roman" w:hAnsi="Times New Roman" w:eastAsia="方正仿宋_GBK" w:cs="Times New Roman"/>
          <w:w w:val="100"/>
          <w:kern w:val="2"/>
          <w:sz w:val="28"/>
          <w:szCs w:val="28"/>
          <w:lang w:val="en-US" w:eastAsia="zh-CN"/>
        </w:rPr>
        <w:t>3</w:t>
      </w:r>
      <w:r>
        <w:rPr>
          <w:rFonts w:hint="default" w:ascii="Times New Roman" w:hAnsi="Times New Roman" w:eastAsia="方正仿宋_GBK" w:cs="Times New Roman"/>
          <w:w w:val="100"/>
          <w:kern w:val="2"/>
          <w:sz w:val="28"/>
          <w:szCs w:val="28"/>
          <w:lang w:val="en-US" w:eastAsia="zh-CN"/>
        </w:rPr>
        <w:t>月</w:t>
      </w:r>
      <w:r>
        <w:rPr>
          <w:rFonts w:hint="eastAsia" w:ascii="Times New Roman" w:hAnsi="Times New Roman" w:eastAsia="方正仿宋_GBK" w:cs="Times New Roman"/>
          <w:w w:val="100"/>
          <w:kern w:val="2"/>
          <w:sz w:val="28"/>
          <w:szCs w:val="28"/>
          <w:lang w:val="en-US" w:eastAsia="zh-CN"/>
        </w:rPr>
        <w:t>1</w:t>
      </w:r>
      <w:r>
        <w:rPr>
          <w:rFonts w:hint="eastAsia" w:eastAsia="方正仿宋_GBK" w:cs="Times New Roman"/>
          <w:w w:val="100"/>
          <w:kern w:val="2"/>
          <w:sz w:val="28"/>
          <w:szCs w:val="28"/>
          <w:lang w:val="en-US" w:eastAsia="zh-CN"/>
        </w:rPr>
        <w:t>2</w:t>
      </w:r>
      <w:r>
        <w:rPr>
          <w:rFonts w:hint="default" w:ascii="Times New Roman" w:hAnsi="Times New Roman" w:eastAsia="方正仿宋_GBK" w:cs="Times New Roman"/>
          <w:w w:val="100"/>
          <w:kern w:val="2"/>
          <w:sz w:val="28"/>
          <w:szCs w:val="28"/>
          <w:lang w:val="en-US" w:eastAsia="zh-CN"/>
        </w:rPr>
        <w:t>日印</w:t>
      </w:r>
      <w:r>
        <w:rPr>
          <w:rFonts w:hint="eastAsia" w:ascii="Times New Roman" w:hAnsi="Times New Roman" w:eastAsia="方正仿宋_GBK" w:cs="Times New Roman"/>
          <w:w w:val="100"/>
          <w:kern w:val="2"/>
          <w:sz w:val="28"/>
          <w:szCs w:val="28"/>
          <w:lang w:val="en-US" w:eastAsia="zh-CN"/>
        </w:rPr>
        <w:t>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8800b8fd-028f-4b7e-89f2-27581c6385e5"/>
  </w:docVars>
  <w:rsids>
    <w:rsidRoot w:val="00000000"/>
    <w:rsid w:val="040A2CF3"/>
    <w:rsid w:val="08793FA4"/>
    <w:rsid w:val="097F55EA"/>
    <w:rsid w:val="0BB73761"/>
    <w:rsid w:val="0CFA1B57"/>
    <w:rsid w:val="1052750B"/>
    <w:rsid w:val="10771710"/>
    <w:rsid w:val="10A1053B"/>
    <w:rsid w:val="12F928B1"/>
    <w:rsid w:val="13477178"/>
    <w:rsid w:val="146F5BC4"/>
    <w:rsid w:val="174A7237"/>
    <w:rsid w:val="19E82D37"/>
    <w:rsid w:val="1A951111"/>
    <w:rsid w:val="1B8B6070"/>
    <w:rsid w:val="1C9A0419"/>
    <w:rsid w:val="1CB57E73"/>
    <w:rsid w:val="1E7E1EBC"/>
    <w:rsid w:val="1E913D78"/>
    <w:rsid w:val="1F244811"/>
    <w:rsid w:val="1F97753D"/>
    <w:rsid w:val="20C66E6E"/>
    <w:rsid w:val="21262AC3"/>
    <w:rsid w:val="21570ECE"/>
    <w:rsid w:val="22FA4207"/>
    <w:rsid w:val="25120D10"/>
    <w:rsid w:val="2556149D"/>
    <w:rsid w:val="263F5C5E"/>
    <w:rsid w:val="288B5901"/>
    <w:rsid w:val="29564161"/>
    <w:rsid w:val="29BF5EC4"/>
    <w:rsid w:val="29D31C20"/>
    <w:rsid w:val="2B7F799F"/>
    <w:rsid w:val="2B9F3B9D"/>
    <w:rsid w:val="2C3B319A"/>
    <w:rsid w:val="30556F21"/>
    <w:rsid w:val="31197F4E"/>
    <w:rsid w:val="33A23A7B"/>
    <w:rsid w:val="348C5D01"/>
    <w:rsid w:val="34B92DC8"/>
    <w:rsid w:val="34CE1050"/>
    <w:rsid w:val="36DF3D38"/>
    <w:rsid w:val="3A2B6F44"/>
    <w:rsid w:val="3FFD0A3B"/>
    <w:rsid w:val="419B050B"/>
    <w:rsid w:val="45C5024D"/>
    <w:rsid w:val="46002A05"/>
    <w:rsid w:val="487E53C2"/>
    <w:rsid w:val="48B00A7C"/>
    <w:rsid w:val="49557B3A"/>
    <w:rsid w:val="49E10124"/>
    <w:rsid w:val="4AD01483"/>
    <w:rsid w:val="4CE44FB3"/>
    <w:rsid w:val="4D827029"/>
    <w:rsid w:val="4F657B92"/>
    <w:rsid w:val="4FF20C57"/>
    <w:rsid w:val="50AF6C0F"/>
    <w:rsid w:val="50DD2246"/>
    <w:rsid w:val="51850890"/>
    <w:rsid w:val="51DF377C"/>
    <w:rsid w:val="51E67581"/>
    <w:rsid w:val="51F36142"/>
    <w:rsid w:val="526A6404"/>
    <w:rsid w:val="52D7511B"/>
    <w:rsid w:val="52E95C14"/>
    <w:rsid w:val="54E86BCD"/>
    <w:rsid w:val="55CC0ABE"/>
    <w:rsid w:val="56535401"/>
    <w:rsid w:val="571921A6"/>
    <w:rsid w:val="5876115D"/>
    <w:rsid w:val="59AC10B0"/>
    <w:rsid w:val="59E44536"/>
    <w:rsid w:val="5C673B98"/>
    <w:rsid w:val="5D2D69AC"/>
    <w:rsid w:val="5DAE0C48"/>
    <w:rsid w:val="607D5554"/>
    <w:rsid w:val="614C3178"/>
    <w:rsid w:val="62AC0373"/>
    <w:rsid w:val="63043D0B"/>
    <w:rsid w:val="6ACC283B"/>
    <w:rsid w:val="6B91157C"/>
    <w:rsid w:val="6C1E14C2"/>
    <w:rsid w:val="70BD39BF"/>
    <w:rsid w:val="7169742F"/>
    <w:rsid w:val="71AD1A11"/>
    <w:rsid w:val="732B52E4"/>
    <w:rsid w:val="75CB454E"/>
    <w:rsid w:val="77C01751"/>
    <w:rsid w:val="79E31CFF"/>
    <w:rsid w:val="7BEB5045"/>
    <w:rsid w:val="7CED53B8"/>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qFormat/>
    <w:uiPriority w:val="0"/>
    <w:pPr>
      <w:widowControl w:val="0"/>
      <w:tabs>
        <w:tab w:val="left" w:pos="0"/>
      </w:tabs>
      <w:spacing w:after="120"/>
      <w:ind w:left="420" w:leftChars="200" w:firstLine="420" w:firstLineChars="200"/>
      <w:jc w:val="both"/>
    </w:pPr>
    <w:rPr>
      <w:rFonts w:ascii="Times" w:hAnsi="Times" w:eastAsia="仿宋" w:cs="Times New Roman"/>
      <w:kern w:val="2"/>
      <w:sz w:val="28"/>
      <w:szCs w:val="24"/>
      <w:lang w:val="en-US" w:eastAsia="zh-CN" w:bidi="ar-SA"/>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51"/>
    <w:basedOn w:val="7"/>
    <w:qFormat/>
    <w:uiPriority w:val="0"/>
    <w:rPr>
      <w:rFonts w:hint="eastAsia" w:ascii="宋体" w:hAnsi="宋体" w:eastAsia="宋体" w:cs="宋体"/>
      <w:color w:val="000000"/>
      <w:sz w:val="22"/>
      <w:szCs w:val="22"/>
      <w:u w:val="non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3684</Words>
  <Characters>3915</Characters>
  <Lines>0</Lines>
  <Paragraphs>0</Paragraphs>
  <TotalTime>1</TotalTime>
  <ScaleCrop>false</ScaleCrop>
  <LinksUpToDate>false</LinksUpToDate>
  <CharactersWithSpaces>3929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2024-03-05T19:50:00Z</dcterms:created>
  <dc:creator>DELL</dc:creator>
  <cp:lastModifiedBy>冉浩田</cp:lastModifiedBy>
  <cp:lastPrinted>2024-03-07T14:49:00Z</cp:lastPrinted>
  <dcterms:modified xsi:type="dcterms:W3CDTF">2026-03-12T07:58:47Z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3FA159990C3F48E5939B2873FF7528F4</vt:lpwstr>
  </property>
  <property fmtid="{D5CDD505-2E9C-101B-9397-08002B2CF9AE}" pid="4" name="KSOTemplateDocerSaveRecord">
    <vt:lpwstr>eyJoZGlkIjoiNzQyODYxZTAxNDYxZmUzMDI2ZDMxMTRlZGQ2ZGFlODQiLCJ1c2VySWQiOiIxMzk3NDM3Nzk5In0=</vt:lpwstr>
  </property>
</Properties>
</file>