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重庆市开州区白桥镇人民政府</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eastAsia="zh-CN"/>
        </w:rPr>
        <w:t>我单位</w:t>
      </w:r>
      <w:r>
        <w:rPr>
          <w:rFonts w:hint="default" w:ascii="Times New Roman" w:hAnsi="Times New Roman" w:eastAsia="方正仿宋_GBK" w:cs="Times New Roman"/>
          <w:sz w:val="32"/>
        </w:rPr>
        <w:t>是基层乡镇级政权机构，所属辖区内</w:t>
      </w: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个社区、</w:t>
      </w:r>
      <w:r>
        <w:rPr>
          <w:rFonts w:hint="default"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个村委会；</w:t>
      </w:r>
      <w:r>
        <w:rPr>
          <w:rFonts w:hint="default" w:ascii="Times New Roman" w:hAnsi="Times New Roman" w:eastAsia="方正仿宋_GBK" w:cs="Times New Roman"/>
          <w:sz w:val="32"/>
          <w:highlight w:val="none"/>
          <w:lang w:val="en-US" w:eastAsia="zh-CN"/>
        </w:rPr>
        <w:t>82</w:t>
      </w:r>
      <w:r>
        <w:rPr>
          <w:rFonts w:hint="default" w:ascii="Times New Roman" w:hAnsi="Times New Roman" w:eastAsia="方正仿宋_GBK" w:cs="Times New Roman"/>
          <w:sz w:val="32"/>
          <w:highlight w:val="none"/>
        </w:rPr>
        <w:t>个村小组和</w:t>
      </w:r>
      <w:r>
        <w:rPr>
          <w:rFonts w:hint="default"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个居民小组，</w:t>
      </w:r>
      <w:r>
        <w:rPr>
          <w:rFonts w:hint="default" w:ascii="Times New Roman" w:hAnsi="Times New Roman" w:eastAsia="方正仿宋_GBK" w:cs="Times New Roman"/>
          <w:sz w:val="32"/>
        </w:rPr>
        <w:t>主要职能是：</w:t>
      </w:r>
      <w:r>
        <w:rPr>
          <w:rFonts w:hint="default" w:ascii="Times New Roman" w:hAnsi="Times New Roman" w:eastAsia="方正仿宋_GBK" w:cs="Times New Roman"/>
          <w:sz w:val="32"/>
          <w:lang w:val="en-US" w:eastAsia="zh-CN"/>
        </w:rPr>
        <w:t>按照党中央关于深化地方机构改革的决策部署，聚焦党的建设、经济发展、民生服务、平安法治等主要职能，形成党建统领、权责清晰、运行顺畅、充满活力的基层治理格局，构建简约高效的基层管理体制。以数字化建设为引领，构建“一中心四板块一网格”基层智治体系，推动机构职能和板块运行有机融合，促进条块协同联动、业务流程再造。</w:t>
      </w:r>
    </w:p>
    <w:p>
      <w:pPr>
        <w:keepNext w:val="0"/>
        <w:keepLines w:val="0"/>
        <w:pageBreakBefore w:val="0"/>
        <w:widowControl w:val="0"/>
        <w:numPr>
          <w:ilvl w:val="0"/>
          <w:numId w:val="0"/>
        </w:numPr>
        <w:kinsoku/>
        <w:wordWrap/>
        <w:overflowPunct/>
        <w:topLinePunct w:val="0"/>
        <w:bidi w:val="0"/>
        <w:snapToGrid/>
        <w:spacing w:line="560" w:lineRule="exact"/>
        <w:ind w:left="630" w:leftChars="0"/>
        <w:jc w:val="both"/>
        <w:textAlignment w:val="auto"/>
        <w:rPr>
          <w:rFonts w:hint="default" w:ascii="Times New Roman" w:hAnsi="Times New Roman" w:eastAsia="方正仿宋_GBK" w:cs="Times New Roman"/>
          <w:sz w:val="32"/>
          <w:lang w:val="en-US" w:eastAsia="zh-CN"/>
        </w:rPr>
      </w:pPr>
      <w:r>
        <w:rPr>
          <w:rFonts w:hint="eastAsia" w:eastAsia="方正仿宋_GBK" w:cs="Times New Roman"/>
          <w:sz w:val="32"/>
          <w:lang w:val="en-US" w:eastAsia="zh-CN"/>
        </w:rPr>
        <w:t>1.</w:t>
      </w:r>
      <w:r>
        <w:rPr>
          <w:rFonts w:hint="default" w:ascii="Times New Roman" w:hAnsi="Times New Roman" w:eastAsia="方正仿宋_GBK" w:cs="Times New Roman"/>
          <w:sz w:val="32"/>
          <w:lang w:val="en-US" w:eastAsia="zh-CN"/>
        </w:rPr>
        <w:t>内设机构的职能职责</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30"/>
        <w:jc w:val="both"/>
        <w:textAlignment w:val="auto"/>
        <w:rPr>
          <w:rFonts w:hint="default" w:ascii="Times New Roman" w:hAnsi="Times New Roman" w:eastAsia="方正仿宋_GBK" w:cs="Times New Roman"/>
          <w:bCs/>
          <w:sz w:val="32"/>
          <w:szCs w:val="32"/>
          <w:lang w:val="zh-CN"/>
        </w:rPr>
      </w:pP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val="zh-CN"/>
        </w:rPr>
        <w:t>）基层治理综合指挥室。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rPr>
        <w:t>党的建设办公室。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rPr>
        <w:t>经济发展办公室。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3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rPr>
        <w:t>民生服务办公室。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rPr>
        <w:t>平安法治办公室。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keepNext w:val="0"/>
        <w:keepLines w:val="0"/>
        <w:pageBreakBefore w:val="0"/>
        <w:widowControl w:val="0"/>
        <w:numPr>
          <w:ilvl w:val="0"/>
          <w:numId w:val="0"/>
        </w:numPr>
        <w:kinsoku/>
        <w:wordWrap/>
        <w:overflowPunct/>
        <w:topLinePunct w:val="0"/>
        <w:bidi w:val="0"/>
        <w:snapToGrid/>
        <w:spacing w:line="560" w:lineRule="exact"/>
        <w:ind w:left="630" w:leftChars="0"/>
        <w:jc w:val="both"/>
        <w:textAlignment w:val="auto"/>
        <w:rPr>
          <w:rFonts w:hint="default" w:ascii="Times New Roman" w:hAnsi="Times New Roman" w:eastAsia="方正仿宋_GBK" w:cs="Times New Roman"/>
          <w:sz w:val="32"/>
          <w:lang w:val="en-US" w:eastAsia="zh-CN"/>
        </w:rPr>
      </w:pPr>
      <w:r>
        <w:rPr>
          <w:rFonts w:hint="eastAsia" w:eastAsia="方正仿宋_GBK" w:cs="Times New Roman"/>
          <w:sz w:val="32"/>
          <w:lang w:val="en-US" w:eastAsia="zh-CN"/>
        </w:rPr>
        <w:t>2.</w:t>
      </w:r>
      <w:r>
        <w:rPr>
          <w:rFonts w:hint="default" w:ascii="Times New Roman" w:hAnsi="Times New Roman" w:eastAsia="方正仿宋_GBK" w:cs="Times New Roman"/>
          <w:sz w:val="32"/>
          <w:lang w:val="en-US" w:eastAsia="zh-CN"/>
        </w:rPr>
        <w:t>直属事业单位的职能职责</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便民服务中心（退役军人服务站）。宗旨：为群众提供便捷精准高效服务。主要职责：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综合行政执法大队。宗旨：为综合行政执法提供保障，推进严格规范公正文明执法。主要职责：对应承接平安法治办公室相关辅助性、事务性工作。负责集中行使依法授权或委托的行政执法权，对照“法定执法+赋权执法+委托执法”事项清单，开展有关执法工作；协助、配合区级有关部门及其派驻机构开展联合执法。</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新时代文明实践服务中心。宗旨：学习宣传新思想，弘扬时代新风尚，推动精神文明建设高质量发展。主要职责：对应承接党的建设办公室辅助性、事务性工作。负责</w:t>
      </w:r>
      <w:r>
        <w:rPr>
          <w:rFonts w:hint="eastAsia" w:ascii="Times New Roman" w:hAnsi="Times New Roman" w:eastAsia="方正仿宋_GBK" w:cs="Times New Roman"/>
          <w:bCs/>
          <w:sz w:val="32"/>
          <w:szCs w:val="32"/>
          <w:lang w:eastAsia="zh-CN"/>
        </w:rPr>
        <w:t>学习贯彻习近平新时代中国特色社会主义思想</w:t>
      </w:r>
      <w:r>
        <w:rPr>
          <w:rFonts w:hint="default" w:ascii="Times New Roman" w:hAnsi="Times New Roman" w:eastAsia="方正仿宋_GBK" w:cs="Times New Roman"/>
          <w:bCs/>
          <w:sz w:val="32"/>
          <w:szCs w:val="32"/>
        </w:rPr>
        <w:t>，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产业发展服务中心。宗旨：为产业发展提供服务保障。主要职责：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村镇建设服务中心。宗旨：完善基础设施建设，提高村镇建设管理水平。主要职责：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30"/>
        <w:jc w:val="both"/>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rPr>
        <w:t>我单位设置了</w:t>
      </w:r>
      <w:r>
        <w:rPr>
          <w:rFonts w:hint="eastAsia" w:eastAsia="方正仿宋_GBK" w:cs="Times New Roman"/>
          <w:sz w:val="32"/>
          <w:lang w:val="en-US" w:eastAsia="zh-CN"/>
        </w:rPr>
        <w:t>5</w:t>
      </w:r>
      <w:r>
        <w:rPr>
          <w:rFonts w:hint="default" w:ascii="Times New Roman" w:hAnsi="Times New Roman" w:eastAsia="方正仿宋_GBK" w:cs="Times New Roman"/>
          <w:sz w:val="32"/>
        </w:rPr>
        <w:t>个内设机构：</w:t>
      </w:r>
      <w:r>
        <w:rPr>
          <w:rFonts w:hint="default" w:ascii="Times New Roman" w:hAnsi="Times New Roman" w:eastAsia="方正仿宋_GBK" w:cs="Times New Roman"/>
          <w:sz w:val="32"/>
          <w:lang w:val="en-US" w:eastAsia="zh-CN"/>
        </w:rPr>
        <w:t>1. 开州区白桥镇基层治理综合指挥室</w:t>
      </w: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 xml:space="preserve">2. </w:t>
      </w:r>
      <w:r>
        <w:rPr>
          <w:rFonts w:hint="default" w:ascii="Times New Roman" w:hAnsi="Times New Roman" w:eastAsia="方正仿宋_GBK" w:cs="Times New Roman"/>
          <w:sz w:val="32"/>
          <w:lang w:val="en-US" w:eastAsia="zh-CN"/>
        </w:rPr>
        <w:t>开州区白桥镇党的建设办公室</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 xml:space="preserve">3. </w:t>
      </w:r>
      <w:r>
        <w:rPr>
          <w:rFonts w:hint="default" w:ascii="Times New Roman" w:hAnsi="Times New Roman" w:eastAsia="方正仿宋_GBK" w:cs="Times New Roman"/>
          <w:sz w:val="32"/>
          <w:lang w:val="en-US" w:eastAsia="zh-CN"/>
        </w:rPr>
        <w:t>开州区白桥镇经济发展办公室</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 xml:space="preserve">4. </w:t>
      </w:r>
      <w:r>
        <w:rPr>
          <w:rFonts w:hint="default" w:ascii="Times New Roman" w:hAnsi="Times New Roman" w:eastAsia="方正仿宋_GBK" w:cs="Times New Roman"/>
          <w:sz w:val="32"/>
          <w:lang w:val="en-US" w:eastAsia="zh-CN"/>
        </w:rPr>
        <w:t>开州区白桥镇民生服务办公室</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 xml:space="preserve">5. </w:t>
      </w:r>
      <w:r>
        <w:rPr>
          <w:rFonts w:hint="default" w:ascii="Times New Roman" w:hAnsi="Times New Roman" w:eastAsia="方正仿宋_GBK" w:cs="Times New Roman"/>
          <w:sz w:val="32"/>
          <w:lang w:val="en-US" w:eastAsia="zh-CN"/>
        </w:rPr>
        <w:t>开州区白桥镇平安法治办公室</w:t>
      </w:r>
      <w:r>
        <w:rPr>
          <w:rFonts w:hint="default" w:ascii="Times New Roman" w:hAnsi="Times New Roman" w:eastAsia="方正仿宋_GBK" w:cs="Times New Roman"/>
          <w:bCs/>
          <w:sz w:val="32"/>
          <w:szCs w:val="32"/>
          <w:lang w:eastAsia="zh-CN"/>
        </w:rPr>
        <w:t>。</w:t>
      </w:r>
      <w:r>
        <w:rPr>
          <w:rFonts w:hint="eastAsia" w:eastAsia="方正仿宋_GBK" w:cs="Times New Roman"/>
          <w:bCs/>
          <w:sz w:val="32"/>
          <w:szCs w:val="32"/>
          <w:lang w:val="en-US" w:eastAsia="zh-CN"/>
        </w:rPr>
        <w:t>5</w:t>
      </w:r>
      <w:r>
        <w:rPr>
          <w:rFonts w:hint="default" w:ascii="Times New Roman" w:hAnsi="Times New Roman" w:eastAsia="方正仿宋_GBK" w:cs="Times New Roman"/>
          <w:sz w:val="32"/>
          <w:szCs w:val="32"/>
          <w:lang w:val="en-US" w:eastAsia="zh-CN"/>
        </w:rPr>
        <w:t xml:space="preserve">个事业单位站所分别是：1. </w:t>
      </w:r>
      <w:r>
        <w:rPr>
          <w:rFonts w:hint="default" w:ascii="Times New Roman" w:hAnsi="Times New Roman" w:eastAsia="方正仿宋_GBK" w:cs="Times New Roman"/>
          <w:sz w:val="32"/>
          <w:lang w:val="en-US" w:eastAsia="zh-CN"/>
        </w:rPr>
        <w:t>开州区白桥镇</w:t>
      </w:r>
      <w:r>
        <w:rPr>
          <w:rFonts w:hint="default" w:ascii="Times New Roman" w:hAnsi="Times New Roman" w:eastAsia="方正仿宋_GBK" w:cs="Times New Roman"/>
          <w:bCs/>
          <w:sz w:val="32"/>
          <w:szCs w:val="32"/>
        </w:rPr>
        <w:t>便民服务中心（退役军人服务站）</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 xml:space="preserve">2. </w:t>
      </w:r>
      <w:r>
        <w:rPr>
          <w:rFonts w:hint="default" w:ascii="Times New Roman" w:hAnsi="Times New Roman" w:eastAsia="方正仿宋_GBK" w:cs="Times New Roman"/>
          <w:sz w:val="32"/>
          <w:lang w:val="en-US" w:eastAsia="zh-CN"/>
        </w:rPr>
        <w:t>开州区白桥镇</w:t>
      </w:r>
      <w:r>
        <w:rPr>
          <w:rFonts w:hint="default" w:ascii="Times New Roman" w:hAnsi="Times New Roman" w:eastAsia="方正仿宋_GBK" w:cs="Times New Roman"/>
          <w:bCs/>
          <w:sz w:val="32"/>
          <w:szCs w:val="32"/>
        </w:rPr>
        <w:t>综合行政执法大队</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 xml:space="preserve">3. </w:t>
      </w:r>
      <w:r>
        <w:rPr>
          <w:rFonts w:hint="default" w:ascii="Times New Roman" w:hAnsi="Times New Roman" w:eastAsia="方正仿宋_GBK" w:cs="Times New Roman"/>
          <w:sz w:val="32"/>
          <w:lang w:val="en-US" w:eastAsia="zh-CN"/>
        </w:rPr>
        <w:t>开州区白桥镇</w:t>
      </w:r>
      <w:r>
        <w:rPr>
          <w:rFonts w:hint="default" w:ascii="Times New Roman" w:hAnsi="Times New Roman" w:eastAsia="方正仿宋_GBK" w:cs="Times New Roman"/>
          <w:bCs/>
          <w:sz w:val="32"/>
          <w:szCs w:val="32"/>
        </w:rPr>
        <w:t>新时代文明实践服务中心</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 xml:space="preserve">4. </w:t>
      </w:r>
      <w:r>
        <w:rPr>
          <w:rFonts w:hint="default" w:ascii="Times New Roman" w:hAnsi="Times New Roman" w:eastAsia="方正仿宋_GBK" w:cs="Times New Roman"/>
          <w:sz w:val="32"/>
          <w:lang w:val="en-US" w:eastAsia="zh-CN"/>
        </w:rPr>
        <w:t>开州区白桥镇</w:t>
      </w:r>
      <w:r>
        <w:rPr>
          <w:rFonts w:hint="default" w:ascii="Times New Roman" w:hAnsi="Times New Roman" w:eastAsia="方正仿宋_GBK" w:cs="Times New Roman"/>
          <w:bCs/>
          <w:sz w:val="32"/>
          <w:szCs w:val="32"/>
        </w:rPr>
        <w:t>产业发展服务中心</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 xml:space="preserve">5. </w:t>
      </w:r>
      <w:r>
        <w:rPr>
          <w:rFonts w:hint="default" w:ascii="Times New Roman" w:hAnsi="Times New Roman" w:eastAsia="方正仿宋_GBK" w:cs="Times New Roman"/>
          <w:sz w:val="32"/>
          <w:lang w:val="en-US" w:eastAsia="zh-CN"/>
        </w:rPr>
        <w:t>开州区白桥镇</w:t>
      </w:r>
      <w:r>
        <w:rPr>
          <w:rFonts w:hint="default" w:ascii="Times New Roman" w:hAnsi="Times New Roman" w:eastAsia="方正仿宋_GBK" w:cs="Times New Roman"/>
          <w:bCs/>
          <w:sz w:val="32"/>
          <w:szCs w:val="32"/>
        </w:rPr>
        <w:t>村镇建设服务中心</w:t>
      </w:r>
      <w:r>
        <w:rPr>
          <w:rFonts w:hint="default" w:ascii="Times New Roman" w:hAnsi="Times New Roman" w:eastAsia="方正仿宋_GBK" w:cs="Times New Roman"/>
          <w:bCs/>
          <w:sz w:val="32"/>
          <w:szCs w:val="32"/>
          <w:lang w:eastAsia="zh-CN"/>
        </w:rPr>
        <w:t>。</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下属</w:t>
      </w:r>
      <w:r>
        <w:rPr>
          <w:rFonts w:hint="default" w:ascii="Times New Roman" w:hAnsi="Times New Roman" w:eastAsia="方正仿宋_GBK" w:cs="Times New Roman"/>
          <w:sz w:val="32"/>
          <w:lang w:val="en-US" w:eastAsia="zh-CN"/>
        </w:rPr>
        <w:t>无</w:t>
      </w:r>
      <w:r>
        <w:rPr>
          <w:rFonts w:hint="default" w:ascii="Times New Roman" w:hAnsi="Times New Roman" w:eastAsia="方正仿宋_GBK" w:cs="Times New Roman"/>
          <w:sz w:val="32"/>
        </w:rPr>
        <w:t>二级预算单位</w:t>
      </w:r>
      <w:r>
        <w:rPr>
          <w:rFonts w:hint="default" w:ascii="Times New Roman" w:hAnsi="Times New Roman" w:eastAsia="方正仿宋_GBK" w:cs="Times New Roman"/>
          <w:sz w:val="32"/>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度收入总计1992.59万元，支出总计</w:t>
      </w:r>
      <w:r>
        <w:rPr>
          <w:rFonts w:ascii="方正仿宋_GBK" w:hAnsi="方正仿宋_GBK" w:eastAsia="方正仿宋_GBK" w:cs="方正仿宋_GBK"/>
          <w:sz w:val="32"/>
          <w:szCs w:val="32"/>
        </w:rPr>
        <w:t>1992.59</w:t>
      </w:r>
      <w:r>
        <w:rPr>
          <w:rFonts w:ascii="方正仿宋_GBK" w:hAnsi="方正仿宋_GBK" w:eastAsia="方正仿宋_GBK" w:cs="方正仿宋_GBK"/>
          <w:sz w:val="32"/>
          <w:szCs w:val="32"/>
          <w:shd w:val="clear" w:color="auto" w:fill="FFFFFF"/>
        </w:rPr>
        <w:t>万元。收、支与2023年度相比，减少353.50万元，下降15.1%，主要原因是</w:t>
      </w:r>
      <w:r>
        <w:rPr>
          <w:rFonts w:hint="default" w:ascii="Times New Roman" w:hAnsi="Times New Roman" w:eastAsia="方正仿宋_GBK" w:cs="Times New Roman"/>
          <w:bCs/>
          <w:sz w:val="32"/>
          <w:szCs w:val="32"/>
          <w:shd w:val="clear" w:color="auto" w:fill="FFFFFF"/>
          <w:lang w:val="en-US" w:eastAsia="zh-CN" w:bidi="ar"/>
        </w:rPr>
        <w:t>年度基本支出和项目支出</w:t>
      </w:r>
      <w:r>
        <w:rPr>
          <w:rFonts w:hint="eastAsia" w:ascii="Times New Roman" w:hAnsi="Times New Roman" w:eastAsia="方正仿宋_GBK" w:cs="Times New Roman"/>
          <w:bCs/>
          <w:sz w:val="32"/>
          <w:szCs w:val="32"/>
          <w:shd w:val="clear" w:color="auto" w:fill="FFFFFF"/>
          <w:lang w:val="en-US" w:eastAsia="zh-CN" w:bidi="ar"/>
        </w:rPr>
        <w:t>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度收入合计1992.59万元，与2023年度相比，减少353.50万元，下降15.1%，主要原因是</w:t>
      </w:r>
      <w:r>
        <w:rPr>
          <w:rFonts w:hint="default" w:ascii="Times New Roman" w:hAnsi="Times New Roman" w:eastAsia="方正仿宋_GBK" w:cs="Times New Roman"/>
          <w:bCs/>
          <w:sz w:val="32"/>
          <w:szCs w:val="32"/>
          <w:shd w:val="clear" w:color="auto" w:fill="FFFFFF"/>
          <w:lang w:val="en-US" w:eastAsia="zh-CN" w:bidi="ar"/>
        </w:rPr>
        <w:t>年度基本支出和项目支出</w:t>
      </w:r>
      <w:r>
        <w:rPr>
          <w:rFonts w:hint="eastAsia" w:ascii="Times New Roman" w:hAnsi="Times New Roman" w:eastAsia="方正仿宋_GBK" w:cs="Times New Roman"/>
          <w:bCs/>
          <w:sz w:val="32"/>
          <w:szCs w:val="32"/>
          <w:shd w:val="clear" w:color="auto" w:fill="FFFFFF"/>
          <w:lang w:val="en-US" w:eastAsia="zh-CN" w:bidi="ar"/>
        </w:rPr>
        <w:t>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1992.59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1992.59</w:t>
      </w:r>
      <w:r>
        <w:rPr>
          <w:rFonts w:ascii="方正仿宋_GBK" w:hAnsi="方正仿宋_GBK" w:eastAsia="方正仿宋_GBK" w:cs="方正仿宋_GBK"/>
          <w:sz w:val="32"/>
          <w:szCs w:val="32"/>
          <w:shd w:val="clear" w:color="auto" w:fill="FFFFFF"/>
        </w:rPr>
        <w:t>万元，与2023年度相比，减少353.50万元，下降15.1%，</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bCs/>
          <w:sz w:val="32"/>
          <w:szCs w:val="32"/>
          <w:shd w:val="clear" w:color="auto" w:fill="FFFFFF"/>
          <w:lang w:val="en-US" w:eastAsia="zh-CN" w:bidi="ar"/>
        </w:rPr>
        <w:t>项目支出</w:t>
      </w:r>
      <w:r>
        <w:rPr>
          <w:rFonts w:hint="eastAsia" w:ascii="Times New Roman" w:hAnsi="Times New Roman" w:eastAsia="方正仿宋_GBK" w:cs="Times New Roman"/>
          <w:bCs/>
          <w:sz w:val="32"/>
          <w:szCs w:val="32"/>
          <w:shd w:val="clear" w:color="auto" w:fill="FFFFFF"/>
          <w:lang w:val="en-US" w:eastAsia="zh-CN" w:bidi="ar"/>
        </w:rPr>
        <w:t>减少</w:t>
      </w:r>
      <w:r>
        <w:rPr>
          <w:rFonts w:hint="default" w:ascii="Times New Roman" w:hAnsi="Times New Roman" w:eastAsia="方正仿宋_GBK" w:cs="Times New Roman"/>
          <w:bCs/>
          <w:sz w:val="32"/>
          <w:szCs w:val="32"/>
          <w:shd w:val="clear" w:color="auto" w:fill="FFFFFF"/>
          <w:lang w:val="en-US" w:eastAsia="zh-CN" w:bidi="ar"/>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1574.98</w:t>
      </w:r>
      <w:r>
        <w:rPr>
          <w:rFonts w:ascii="方正仿宋_GBK" w:hAnsi="方正仿宋_GBK" w:eastAsia="方正仿宋_GBK" w:cs="方正仿宋_GBK"/>
          <w:sz w:val="32"/>
          <w:szCs w:val="32"/>
          <w:shd w:val="clear" w:color="auto" w:fill="FFFFFF"/>
        </w:rPr>
        <w:t>万元，占79.04%；项目支出</w:t>
      </w:r>
      <w:r>
        <w:rPr>
          <w:rFonts w:ascii="方正仿宋_GBK" w:hAnsi="方正仿宋_GBK" w:eastAsia="方正仿宋_GBK" w:cs="方正仿宋_GBK"/>
          <w:sz w:val="32"/>
          <w:szCs w:val="32"/>
        </w:rPr>
        <w:t>417.61</w:t>
      </w:r>
      <w:r>
        <w:rPr>
          <w:rFonts w:ascii="方正仿宋_GBK" w:hAnsi="方正仿宋_GBK" w:eastAsia="方正仿宋_GBK" w:cs="方正仿宋_GBK"/>
          <w:sz w:val="32"/>
          <w:szCs w:val="32"/>
          <w:shd w:val="clear" w:color="auto" w:fill="FFFFFF"/>
        </w:rPr>
        <w:t>万元，占20.96%。</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bCs/>
          <w:sz w:val="32"/>
          <w:szCs w:val="32"/>
          <w:shd w:val="clear" w:color="auto" w:fill="FFFFFF"/>
          <w:lang w:val="en-US" w:eastAsia="zh-CN" w:bidi="ar"/>
        </w:rPr>
        <w:t>提高了预算支出的均衡性，加快了资金拨付进度。</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度财政拨款收、支总计1992.59万元。与202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年相比，财政拨款收、支总计各减少353.50万元，下降15.1%。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bidi="ar"/>
        </w:rPr>
        <w:t>本年度项目</w:t>
      </w:r>
      <w:r>
        <w:rPr>
          <w:rFonts w:hint="eastAsia" w:ascii="Times New Roman" w:hAnsi="Times New Roman" w:eastAsia="方正仿宋_GBK" w:cs="Times New Roman"/>
          <w:sz w:val="32"/>
          <w:szCs w:val="32"/>
          <w:shd w:val="clear" w:color="auto" w:fill="FFFFFF"/>
          <w:lang w:val="en-US" w:eastAsia="zh-CN" w:bidi="ar"/>
        </w:rPr>
        <w:t>减少</w:t>
      </w:r>
      <w:r>
        <w:rPr>
          <w:rFonts w:hint="default" w:ascii="Times New Roman" w:hAnsi="Times New Roman" w:eastAsia="方正仿宋_GBK" w:cs="Times New Roman"/>
          <w:sz w:val="32"/>
          <w:szCs w:val="32"/>
          <w:shd w:val="clear" w:color="auto" w:fill="FFFFFF"/>
          <w:lang w:val="en-US" w:eastAsia="zh-CN" w:bidi="ar"/>
        </w:rPr>
        <w:t>，所以资金比上年</w:t>
      </w:r>
      <w:r>
        <w:rPr>
          <w:rFonts w:hint="eastAsia" w:ascii="Times New Roman" w:hAnsi="Times New Roman" w:eastAsia="方正仿宋_GBK" w:cs="Times New Roman"/>
          <w:sz w:val="32"/>
          <w:szCs w:val="32"/>
          <w:shd w:val="clear" w:color="auto" w:fill="FFFFFF"/>
          <w:lang w:val="en-US" w:eastAsia="zh-CN" w:bidi="ar"/>
        </w:rPr>
        <w:t>减少</w:t>
      </w:r>
      <w:r>
        <w:rPr>
          <w:rFonts w:ascii="方正仿宋_GBK" w:hAnsi="方正仿宋_GBK" w:eastAsia="方正仿宋_GBK" w:cs="方正仿宋_GBK"/>
          <w:sz w:val="32"/>
          <w:szCs w:val="32"/>
          <w:shd w:val="clear" w:color="auto" w:fill="FFFFFF"/>
        </w:rPr>
        <w:t>353.50</w:t>
      </w:r>
      <w:r>
        <w:rPr>
          <w:rFonts w:hint="default" w:ascii="Times New Roman" w:hAnsi="Times New Roman" w:eastAsia="方正仿宋_GBK" w:cs="Times New Roman"/>
          <w:sz w:val="32"/>
          <w:szCs w:val="32"/>
          <w:shd w:val="clear" w:color="auto" w:fill="FFFFFF"/>
          <w:lang w:val="en-US" w:eastAsia="zh-CN" w:bidi="ar"/>
        </w:rPr>
        <w:t>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度一般公共预算财政拨款收入1977.91万元，与2023年度相比，减少350.15万元，下降15.0%。主要原因是本年度项目减少。较年初预算数增加129.36万元，增长7.0%。主要原因是年中追加安排农林水项目经费支出预算。此外，年初财政拨款结转和结余0.00万元。</w:t>
      </w:r>
      <w:r>
        <w:rPr>
          <w:rFonts w:hint="eastAsia" w:ascii="方正仿宋_GBK" w:hAnsi="方正仿宋_GBK" w:eastAsia="方正仿宋_GBK" w:cs="方正仿宋_GBK"/>
          <w:sz w:val="32"/>
          <w:szCs w:val="32"/>
          <w:shd w:val="clear" w:color="auto" w:fill="FFFFFF"/>
          <w:lang w:val="en-US" w:eastAsia="zh-CN"/>
        </w:rPr>
        <w:t xml:space="preserve">  </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2024年度一般公共预算财政拨款支出1977.91万元，与2023年度相比，减少350.15万元，下降15.0%。主要原因是本年度项目减少。较年初预算数增加129.36万元，增长7.0%。主要原因是年中追加安排农林水项目经费支出预算。</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2024年度年末一般公共预算财政拨款结转和结余0.00万元，与2023年度相比，无增减，主要原因是提高了预算支出的均衡性，加快了资金拨付进度。</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（1）一般公共服务支出512.49万元，占25.91%，较年初预算数增加9.60万元，增长1.9%，主要原因是基本支出政策性增长。</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（2）文化旅游体育与传媒支出15.84万元，占0.80%，较年初预算数增加0.40万元，增长2.6%，主要原因是本年度人员调动。</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（3）社会保障与就业支出344.70万元，占17.43%，较年初预算数增加44.95万元，增长15.0%，主要原因是职工养老保险和职业年金基数调整，事业单位新增超额绩效奖纳入养老保险和职业年金计算。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（4）卫生健康支出60.37万元，占3.05%，较年初预算数减少1.99万元，下降3.2%，</w:t>
      </w:r>
      <w:r>
        <w:rPr>
          <w:rFonts w:hint="eastAsia" w:ascii="方正仿宋_GBK" w:hAnsi="方正仿宋_GBK" w:eastAsia="方正仿宋_GBK" w:cs="方正仿宋_GBK"/>
          <w:sz w:val="32"/>
          <w:szCs w:val="32"/>
          <w:highlight w:val="none"/>
          <w:shd w:val="clear" w:color="auto" w:fill="FFFFFF"/>
        </w:rPr>
        <w:t>主要原因是本年度单位人员退休造成的变动。</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（5）节能环保支出124.43万元，占6.29%，较年初预算数增加22.57万元，增长22.2%，主要原因是年中追加农村环境保护等预算支出。</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（6）农林水支出710.26万元，占35.91%，较年初预算数增加82.65万元，增长13.2%，主要原因是基本支出政策性增长及年中增加了对村社区的补助等项目预算支出。</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（7）交通运输支出147.36万元，占7.45%，较年初预算数减少26.06万元，下降15.0%，主要原因是本年度项目减少，相应费用减少。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shd w:val="clear" w:color="auto" w:fill="FFFFFF"/>
        </w:rPr>
        <w:t>（8）住房保障支出62.46万元，占3.16%，较年初预算数减少2.76万元，下降4.2%，主要原因是</w:t>
      </w:r>
      <w:r>
        <w:rPr>
          <w:rFonts w:hint="eastAsia" w:ascii="方正仿宋_GBK" w:hAnsi="方正仿宋_GBK" w:eastAsia="方正仿宋_GBK" w:cs="方正仿宋_GBK"/>
          <w:sz w:val="32"/>
          <w:szCs w:val="32"/>
          <w:highlight w:val="none"/>
          <w:shd w:val="clear" w:color="auto" w:fill="FFFFFF"/>
        </w:rPr>
        <w:t>本年度单位人员退休造成的变动。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2024年度一般公共财政拨款基本支出1574.98万元。其中：人员经费1368.58万元，与2023年度相比，增加359.14万元，增长35.6%，主要原因是</w:t>
      </w:r>
      <w:r>
        <w:rPr>
          <w:rFonts w:hint="eastAsia" w:ascii="方正仿宋_GBK" w:hAnsi="方正仿宋_GBK" w:eastAsia="方正仿宋_GBK" w:cs="方正仿宋_GBK"/>
          <w:sz w:val="32"/>
          <w:szCs w:val="32"/>
          <w:highlight w:val="none"/>
          <w:shd w:val="clear" w:color="auto" w:fill="FFFFFF"/>
        </w:rPr>
        <w:t>本年度人员</w:t>
      </w:r>
      <w:r>
        <w:rPr>
          <w:rFonts w:hint="eastAsia" w:ascii="方正仿宋_GBK" w:hAnsi="方正仿宋_GBK" w:eastAsia="方正仿宋_GBK" w:cs="方正仿宋_GBK"/>
          <w:sz w:val="32"/>
          <w:szCs w:val="32"/>
          <w:highlight w:val="none"/>
          <w:shd w:val="clear" w:color="auto" w:fill="FFFFFF"/>
          <w:lang w:eastAsia="zh-CN"/>
        </w:rPr>
        <w:t>新增三支一扶人员两名</w:t>
      </w:r>
      <w:r>
        <w:rPr>
          <w:rFonts w:hint="eastAsia" w:ascii="方正仿宋_GBK" w:hAnsi="方正仿宋_GBK" w:eastAsia="方正仿宋_GBK" w:cs="方正仿宋_GBK"/>
          <w:sz w:val="32"/>
          <w:szCs w:val="32"/>
          <w:highlight w:val="none"/>
          <w:shd w:val="clear" w:color="auto" w:fill="FFFFFF"/>
        </w:rPr>
        <w:t>，基本支出增加。</w:t>
      </w:r>
      <w:r>
        <w:rPr>
          <w:rFonts w:hint="eastAsia" w:ascii="方正仿宋_GBK" w:hAnsi="方正仿宋_GBK" w:eastAsia="方正仿宋_GBK" w:cs="方正仿宋_GBK"/>
          <w:sz w:val="32"/>
          <w:szCs w:val="32"/>
          <w:shd w:val="clear" w:color="auto" w:fill="FFFFFF"/>
        </w:rPr>
        <w:t>人员经费用途主要包括基本工资、津贴补贴、奖金、伙食补助费、绩效工资和社会保障缴费等支出。公用经费206.40万元，与2023年度相比，增加43.37万元，增长26.6%，主要原因是</w:t>
      </w:r>
      <w:r>
        <w:rPr>
          <w:rFonts w:hint="eastAsia" w:ascii="方正仿宋_GBK" w:hAnsi="方正仿宋_GBK" w:eastAsia="方正仿宋_GBK" w:cs="方正仿宋_GBK"/>
          <w:sz w:val="32"/>
          <w:szCs w:val="32"/>
          <w:highlight w:val="none"/>
          <w:shd w:val="clear" w:color="auto" w:fill="FFFFFF"/>
        </w:rPr>
        <w:t>本年度人员</w:t>
      </w:r>
      <w:r>
        <w:rPr>
          <w:rFonts w:hint="eastAsia" w:ascii="方正仿宋_GBK" w:hAnsi="方正仿宋_GBK" w:eastAsia="方正仿宋_GBK" w:cs="方正仿宋_GBK"/>
          <w:sz w:val="32"/>
          <w:szCs w:val="32"/>
          <w:highlight w:val="none"/>
          <w:shd w:val="clear" w:color="auto" w:fill="FFFFFF"/>
          <w:lang w:eastAsia="zh-CN"/>
        </w:rPr>
        <w:t>新增三支一扶人员两名</w:t>
      </w:r>
      <w:r>
        <w:rPr>
          <w:rFonts w:hint="eastAsia" w:ascii="方正仿宋_GBK" w:hAnsi="方正仿宋_GBK" w:eastAsia="方正仿宋_GBK" w:cs="方正仿宋_GBK"/>
          <w:sz w:val="32"/>
          <w:szCs w:val="32"/>
          <w:highlight w:val="none"/>
          <w:shd w:val="clear" w:color="auto" w:fill="FFFFFF"/>
        </w:rPr>
        <w:t>，基本支出增加。</w:t>
      </w:r>
      <w:r>
        <w:rPr>
          <w:rFonts w:hint="eastAsia" w:ascii="方正仿宋_GBK" w:hAnsi="方正仿宋_GBK" w:eastAsia="方正仿宋_GBK" w:cs="方正仿宋_GBK"/>
          <w:sz w:val="32"/>
          <w:szCs w:val="32"/>
          <w:shd w:val="clear" w:color="auto" w:fill="FFFFFF"/>
        </w:rPr>
        <w:t>公用经费用途主要包括办公费、电费、邮电费、差旅费、公务接待费、工会经费、公务用车运行维护费和其他交通费用等支出。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政府性基金预算财政拨款年初结转结余0.00万元，年末结转结余0.00万元。本年收入14.68万元，与2023年度相比，减少3.35万元，下降18.6%，主要原因是政府性基金预算类项目减少。本年支出14.68万元，与2023年度相比，减少3.35万元，下降18.6%，主要原因是政府性基金预算类项目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11"/>
        <w:autoSpaceDE w:val="0"/>
        <w:ind w:firstLine="643"/>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三公”经费支出共计8.95万元，较年初预算数减少0.01万元，下降0.1%，主要原因是认真贯彻落实中央八项规定要求，厉行节约、严格控制支出。较上年支出数增加1.74万元，增长24.1%，主要原因是本年度公务接待任务增加及新购置一辆公务用车。</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本单位因公出国（境）费用0.00万元，主要是今年未安排人员出国出访。费用支出较年初预算数无增减，主要原因是本单位未发生因公出国（境）费用。较上年支出数无增减，主要原因是本单位2024年度未发生因公出国（境）费用，相应费用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公务车购置费0.00万元，主要是本单位2024年度未发生公务车购置费用支出。费用支出较年初预算数无增减，主要原因是本单位2024年度未发生公务车购置费用支出。较上年支出数无增减，主要原因是本单位2024年度未发生公务车购置费用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公务车运行维护费4.00万元，主要用于镇内外因公出行、各项业务检查等工作所需车辆的燃料费、维修费、过桥过路费、保险费等。费用支出较年初预算数无增减，主要原因是本年度执行预算时严格控制成本。较上年支出数增加0.09万元，增长2.3%，主要原因是今年新购置一辆公务用车，相应费用增加。</w:t>
      </w:r>
    </w:p>
    <w:p>
      <w:pPr>
        <w:pStyle w:val="11"/>
        <w:autoSpaceDE w:val="0"/>
        <w:ind w:firstLine="643"/>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公务接待费4.95万元，主要用于接待接待上级部门检查工作接待支出。费用支出较年初预算数减少0.01万元，下降0.2%，主要原因是强化了公务接待支出管理，严格遵守公务接待开支范围和开支标准，严格控制陪餐人数。较上年支出数增加1.65万元，增长50.0%，主要原因是接待任务增多。</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331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1652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29.99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1.33</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1.98万元，与2023年度相比，减少0.26万元，下降11.6%，主要原因是严格落实基层减负政策减少会议。本年度培训费支出1.90万元，与2023年度相比，增加1.00万元，增长111.1%，主要原因是严格落实基层减负政策减少会议。</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本单位机关运行经费支出84.59万元，机关运行经费主要用于开支开支办公费、电费、邮电费、差旅费、公务接待费、工会经费、公务用车运行维护费、其他交通费用等维持单位正常运转经费支出。机关运行经费较上年支出数减少20.95万元，下降19.9%，主要原因是办公费、会议费等支出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92.00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92.00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92.00万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w:t>
      </w:r>
      <w:r>
        <w:rPr>
          <w:rFonts w:hint="eastAsia" w:ascii="方正仿宋_GBK" w:hAnsi="方正仿宋_GBK" w:eastAsia="方正仿宋_GBK" w:cs="方正仿宋_GBK"/>
          <w:sz w:val="32"/>
          <w:szCs w:val="32"/>
          <w:shd w:val="clear" w:color="auto" w:fill="FFFFFF"/>
        </w:rPr>
        <w:t>采购开州区白桥镇武城村大米品质提升改造项目40-50吨大米生产线设备：碾米主机设备1套、风网设备1套、料仓、料管及机架等冷作部分1套、统糠设备1套、电控设备1套、风干设备1套、二面六面整形机1台、磁选器3个、磅秤1台。</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根据预算绩效管理要求，我部门（单位）对部门整体和22个一级项目开展了绩效自评，涉及财政拨款项目支出资金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417.61</w:t>
      </w:r>
      <w:r>
        <w:rPr>
          <w:rFonts w:hint="eastAsia" w:ascii="方正仿宋_GBK" w:hAnsi="方正仿宋_GBK" w:eastAsia="方正仿宋_GBK" w:cs="方正仿宋_GBK"/>
          <w:kern w:val="0"/>
          <w:sz w:val="32"/>
          <w:szCs w:val="32"/>
          <w:shd w:val="clear" w:fill="FFFFFF"/>
        </w:rPr>
        <w:t>万元。</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88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375"/>
        <w:gridCol w:w="636"/>
        <w:gridCol w:w="146"/>
        <w:gridCol w:w="581"/>
        <w:gridCol w:w="325"/>
        <w:gridCol w:w="814"/>
        <w:gridCol w:w="898"/>
        <w:gridCol w:w="715"/>
        <w:gridCol w:w="214"/>
        <w:gridCol w:w="746"/>
        <w:gridCol w:w="116"/>
        <w:gridCol w:w="822"/>
        <w:gridCol w:w="400"/>
        <w:gridCol w:w="450"/>
        <w:gridCol w:w="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4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重庆市开州区白桥镇人民政府整体自评</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0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50015400024P000143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自评总分</w:t>
            </w:r>
          </w:p>
        </w:tc>
        <w:tc>
          <w:tcPr>
            <w:tcW w:w="18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98.39</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513-重庆市开州区白桥镇人民政府</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0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8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周鑫</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kern w:val="0"/>
                <w:sz w:val="24"/>
                <w:szCs w:val="24"/>
                <w:shd w:val="clear" w:fill="FFFFFF"/>
              </w:rPr>
              <w:t>023-52359128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4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全年（调整）</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18,485,453.61 </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24,080,397.86 </w:t>
            </w:r>
          </w:p>
        </w:tc>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20,205,547.76 </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财政拨款</w:t>
            </w:r>
          </w:p>
        </w:tc>
        <w:tc>
          <w:tcPr>
            <w:tcW w:w="37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18,485,453.61 </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24,080,397.86 </w:t>
            </w:r>
          </w:p>
        </w:tc>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20,205,547.76 </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83.91</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18,485,453.61 </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23,933,597.86 </w:t>
            </w:r>
          </w:p>
        </w:tc>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20,058,747.76 </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83.81</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4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66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8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266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本单位工作目标：1.“三保”经费保障有力，我镇目前在编人员49名，按时足额发放工资待遇，继续坚持“”过紧日子“”思想，保障机关基本运行；2.加强对我镇10个村社区的管理，对村级运行保障324万元，对社区运行保障36万元，保障村社正常运行。3.在统筹预算资金的情况下，保质保量完成预算资金1567万元的支付，加强衔接资金和项目管理，充分发挥预算资金使用效率。4.持续改善我镇群众生产生活条件，加强10个村社区农村公路、农村环境、污水管网等方面日常维护，每年维护农村公路不低于10处、清运垃圾量60000立方米以上、维护一级污水管网3.8km，打造宜居的人居环境覆盖率达90%以上，群众满意度达90%以上。5.合理利用预算资金推动乡村振兴发展，继续发展本镇武城村的蓝莓、大米产业，中柏村的毛叶山桐子等产业，带动村民致富。</w:t>
            </w:r>
          </w:p>
        </w:tc>
        <w:tc>
          <w:tcPr>
            <w:tcW w:w="382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本单位工作目标：1.“三保”经费保障有力，我镇目前在编人员47名，按时足额发放工资待遇，继续坚持“”过紧日子“”思想，保障机关基本运行；2.加强对我镇10个村社区的管理，对村级运行保障324万元，对社区运行保障36万元，保障村社正常运行。3.在统筹预算资金的情况下，保质保量完成预算资金1567万元的支付，加强衔接资金和项目管理，充分发挥预算资金使用效率。4.持续改善我镇群众生产生活条件，加强10个村社区农村公路、农村环境、污水管网等方面日常维护，每年维护一级污水管网3.8km。5.重大疫情、灾情、险情等突发应急，积极处置灾情及应急事件10余次。6.信访稳定，保障我镇信访维稳工作日常开支，每年至少解决信访问题2起。7.综合执法工作经费，每年查处12个以上违反道路安全行驶车辆。8.改扩建公路项目4个，提高公路质量，使出行便捷。9.合理利用预算资金推动乡村振兴发展，继续发展本镇武城村的蓝莓、大米产业，中柏村的毛叶山桐子等产业，带动村民致富。</w:t>
            </w:r>
          </w:p>
        </w:tc>
        <w:tc>
          <w:tcPr>
            <w:tcW w:w="23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预算数为2408.04万元，执行数为2020.55万元。完成情况包括：1.主要是用于47名机关事业单位人员经费、公用经费及项目建设，保障了我镇政府、直属事业单位、9个村1社区正常运行；2.加强了各类政策落实，使2020.55万元的预算资金达到最大的使用效率，资金支付及时性100%；3.合理利用预算资金推动乡村振兴发展，本年项目建设主要包括白桥镇武城村蓝莓园管护，管护250亩蓝莓，项目验收合格率100%。打造白桥镇武城村蓝莓产业品牌。通过项目实施，实现产业发挥效益，集体经济组织增收60万元，一般农户受益人口数达1160人，受益农户满意度达95%。4.继续加强农村公路基础设施建设，新建硬化农村公路4.7公里，加宽窄路面公路4公里，安防工程6.324公里，有效改善了群众交通出行问题；举办文化下乡5场次，全面实施“书架工程”，开展全民阅读推广活动，促进了全镇社会经济、文化等方面统筹发展；设置交通安全专职劝导站2个，劝导车辆13000余辆，罚款4000余元，有效保障辖区居民安全出行；解决信访问题2起，积极处置灾情及应急事件10件，提升了行政效能和人民群众对政府工作的满意度。5.持续改善我镇群众生产生活条件，加强10个村社区农村环境、污水管网等方面日常维护，维护农村公路10处、维护一级污水管网3.8km，打造宜居的人居环境覆盖率达90%，群众满意度达90%。6.本年剩余数为387.49万元，主要是工程项目款结转到下一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4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保障村（社区）正常运转</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保障机关事业单位人员经费支出</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改扩建公路项目</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积极处置灾情及应急事件</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每年查处违反道路安全行驶车辆</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一级污水管网维护</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解决信访问题</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default" w:ascii="方正仿宋_GBK" w:hAnsi="方正仿宋_GBK" w:eastAsia="方正仿宋_GBK" w:cs="方正仿宋_GBK"/>
          <w:b/>
          <w:bCs/>
          <w:kern w:val="0"/>
          <w:sz w:val="32"/>
          <w:szCs w:val="32"/>
          <w:shd w:val="clear" w:fill="FFFFFF"/>
          <w:lang w:val="en-US"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0" w:firstLineChars="100"/>
        <w:textAlignment w:val="auto"/>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sz w:val="32"/>
          <w:szCs w:val="32"/>
          <w:lang w:val="en-US" w:eastAsia="zh-CN"/>
        </w:rPr>
        <w:t>具体绩效评价以开州区白桥镇武城村大米品质提升改造项目为例。</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683"/>
        <w:gridCol w:w="683"/>
        <w:gridCol w:w="683"/>
        <w:gridCol w:w="683"/>
        <w:gridCol w:w="566"/>
        <w:gridCol w:w="800"/>
        <w:gridCol w:w="859"/>
        <w:gridCol w:w="975"/>
        <w:gridCol w:w="683"/>
        <w:gridCol w:w="683"/>
        <w:gridCol w:w="333"/>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3"/>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开州区白桥镇武城村大米品质提升改造项目-开州财农发〔2022〕105号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建设大米生产设备1套</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受益年数10年</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按时完成建设</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受益脱贫人口125人，一般农户人口2166人</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受益脱贫户一般户满意度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0" w:firstLineChars="100"/>
        <w:textAlignment w:val="auto"/>
        <w:rPr>
          <w:rFonts w:hint="eastAsia" w:ascii="方正仿宋_GBK" w:hAnsi="方正仿宋_GBK" w:eastAsia="方正仿宋_GBK" w:cs="方正仿宋_GBK"/>
          <w:kern w:val="0"/>
          <w:sz w:val="32"/>
          <w:szCs w:val="32"/>
        </w:rPr>
      </w:pP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本单位对白桥镇柏大村产业路建设工程开展了绩效评价，涉及财政拨款项目资金88万元，评价得分100分。</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val="en-US" w:eastAsia="zh-CN"/>
        </w:rPr>
        <w:t>区</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委托第三方对我部门开展</w:t>
      </w:r>
      <w:r>
        <w:rPr>
          <w:rFonts w:hint="eastAsia" w:ascii="方正仿宋_GBK" w:hAnsi="方正仿宋_GBK" w:eastAsia="方正仿宋_GBK" w:cs="方正仿宋_GBK"/>
          <w:kern w:val="0"/>
          <w:sz w:val="32"/>
          <w:szCs w:val="32"/>
          <w:shd w:val="clear" w:fill="FFFFFF"/>
          <w:lang w:eastAsia="zh-CN"/>
        </w:rPr>
        <w:t>财政</w:t>
      </w:r>
      <w:r>
        <w:rPr>
          <w:rFonts w:hint="eastAsia" w:ascii="方正仿宋_GBK" w:hAnsi="方正仿宋_GBK" w:eastAsia="方正仿宋_GBK" w:cs="方正仿宋_GBK"/>
          <w:kern w:val="0"/>
          <w:sz w:val="32"/>
          <w:szCs w:val="32"/>
          <w:shd w:val="clear" w:fill="FFFFFF"/>
        </w:rPr>
        <w:t>绩效评价</w:t>
      </w:r>
      <w:r>
        <w:rPr>
          <w:rFonts w:hint="eastAsia" w:ascii="方正仿宋_GBK" w:hAnsi="方正仿宋_GBK" w:eastAsia="方正仿宋_GBK" w:cs="方正仿宋_GBK"/>
          <w:kern w:val="0"/>
          <w:sz w:val="32"/>
          <w:szCs w:val="32"/>
          <w:shd w:val="clear"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本单位决算公开信息反馈和联系方式：023-52359128</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重庆市开州区白桥镇人民政府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1,977.91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1,992.59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1,992.59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1,992.59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重庆市开州区白桥镇人民政府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1,992.59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1,992.59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其他污水处理费安排的支出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95.59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95.59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重庆市开州区白桥镇人民政府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1,992.59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1,574.98</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417.61</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其他污水处理费安排的支出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544.78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319.51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118.62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95.59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95.59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319.51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重庆市开州区白桥镇人民政府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1,977.91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1,992.59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1,977.91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1,992.59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1,977.91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重庆市开州区白桥镇人民政府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1,977.91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1,574.98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402.93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438.13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319.51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重庆市开州区白桥镇人民政府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1,368.58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206.40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重庆市开州区白桥镇人民政府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污水处理费安排的支出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2121499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其他污水处理费安排的支出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重庆市开州区白桥镇人民政府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重庆市开州区白桥镇人民政府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84.59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8.95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84.59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jBmNzRkZjA3ZGYxMjc4MmM2MzAwN2MxMjgyZTg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49429E"/>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6763</Words>
  <Characters>15751</Characters>
  <Lines>186</Lines>
  <Paragraphs>52</Paragraphs>
  <TotalTime>0</TotalTime>
  <ScaleCrop>false</ScaleCrop>
  <LinksUpToDate>false</LinksUpToDate>
  <CharactersWithSpaces>15870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2025-09-16T01:35:04Z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