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right="75"/>
        <w:jc w:val="center"/>
      </w:pPr>
      <w:r>
        <w:rPr>
          <w:sz w:val="54"/>
          <w:szCs w:val="54"/>
          <w:shd w:val="clear" w:fill="FFFFFF"/>
        </w:rPr>
        <w:t>重庆市开州区天和镇人民政府</w:t>
      </w:r>
    </w:p>
    <w:p>
      <w:pPr>
        <w:pStyle w:val="2"/>
        <w:keepNext w:val="0"/>
        <w:keepLines w:val="0"/>
        <w:widowControl/>
        <w:suppressLineNumbers w:val="0"/>
        <w:ind w:left="0" w:right="75"/>
        <w:jc w:val="center"/>
      </w:pPr>
      <w:r>
        <w:rPr>
          <w:sz w:val="54"/>
          <w:szCs w:val="54"/>
          <w:shd w:val="clear" w:fill="FFFFFF"/>
        </w:rPr>
        <w:t>2019年度部门决算情况说明</w:t>
      </w:r>
    </w:p>
    <w:p>
      <w:pPr>
        <w:pStyle w:val="2"/>
        <w:keepNext w:val="0"/>
        <w:keepLines w:val="0"/>
        <w:widowControl/>
        <w:suppressLineNumbers w:val="0"/>
        <w:ind w:left="0" w:right="75"/>
      </w:pPr>
      <w:r>
        <w:rPr>
          <w:sz w:val="18"/>
          <w:szCs w:val="18"/>
          <w:shd w:val="clear" w:fill="FFFFFF"/>
        </w:rPr>
        <w:t> </w:t>
      </w:r>
    </w:p>
    <w:p>
      <w:pPr>
        <w:pStyle w:val="2"/>
        <w:keepNext w:val="0"/>
        <w:keepLines w:val="0"/>
        <w:widowControl/>
        <w:suppressLineNumbers w:val="0"/>
        <w:ind w:left="0" w:right="75"/>
      </w:pPr>
      <w:r>
        <w:rPr>
          <w:rStyle w:val="4"/>
          <w:sz w:val="30"/>
          <w:szCs w:val="30"/>
          <w:shd w:val="clear" w:fill="FFFFFF"/>
        </w:rPr>
        <w:t>  一、部门基本情况</w:t>
      </w:r>
      <w:bookmarkStart w:id="0" w:name="_GoBack"/>
      <w:bookmarkEnd w:id="0"/>
    </w:p>
    <w:p>
      <w:pPr>
        <w:pStyle w:val="2"/>
        <w:keepNext w:val="0"/>
        <w:keepLines w:val="0"/>
        <w:widowControl/>
        <w:suppressLineNumbers w:val="0"/>
        <w:ind w:left="0" w:right="75" w:firstLine="900" w:firstLineChars="300"/>
      </w:pPr>
      <w:r>
        <w:rPr>
          <w:rFonts w:hint="eastAsia" w:ascii="仿宋" w:hAnsi="仿宋"/>
          <w:sz w:val="30"/>
          <w:szCs w:val="30"/>
        </w:rPr>
        <w:t>政府内设机构</w:t>
      </w:r>
      <w:r>
        <w:rPr>
          <w:rFonts w:hint="eastAsia" w:ascii="仿宋" w:hAnsi="仿宋"/>
          <w:sz w:val="30"/>
          <w:szCs w:val="30"/>
          <w:lang w:val="en-US" w:eastAsia="zh-CN"/>
        </w:rPr>
        <w:t>9</w:t>
      </w:r>
      <w:r>
        <w:rPr>
          <w:rFonts w:hint="eastAsia" w:ascii="仿宋" w:hAnsi="仿宋"/>
          <w:sz w:val="30"/>
          <w:szCs w:val="30"/>
          <w:lang w:eastAsia="zh-CN"/>
        </w:rPr>
        <w:t>个</w:t>
      </w:r>
      <w:r>
        <w:rPr>
          <w:rFonts w:hint="eastAsia" w:ascii="仿宋" w:hAnsi="仿宋"/>
          <w:sz w:val="30"/>
          <w:szCs w:val="30"/>
        </w:rPr>
        <w:t>：党政办、民政办、计生办、经发办、综治办、人大办、食药监办、</w:t>
      </w:r>
      <w:r>
        <w:rPr>
          <w:rFonts w:hint="eastAsia" w:ascii="仿宋" w:hAnsi="仿宋"/>
          <w:sz w:val="30"/>
          <w:szCs w:val="30"/>
          <w:lang w:eastAsia="zh-CN"/>
        </w:rPr>
        <w:t>安监办、</w:t>
      </w:r>
      <w:r>
        <w:rPr>
          <w:rFonts w:hint="eastAsia" w:ascii="仿宋" w:hAnsi="仿宋"/>
          <w:sz w:val="30"/>
          <w:szCs w:val="30"/>
        </w:rPr>
        <w:t>公共服务中心，所属</w:t>
      </w:r>
      <w:r>
        <w:rPr>
          <w:rFonts w:hint="eastAsia" w:ascii="仿宋" w:hAnsi="仿宋"/>
          <w:sz w:val="30"/>
          <w:szCs w:val="30"/>
          <w:lang w:val="en-US" w:eastAsia="zh-CN"/>
        </w:rPr>
        <w:t>8个</w:t>
      </w:r>
      <w:r>
        <w:rPr>
          <w:rFonts w:hint="eastAsia" w:ascii="仿宋" w:hAnsi="仿宋"/>
          <w:sz w:val="30"/>
          <w:szCs w:val="30"/>
        </w:rPr>
        <w:t>事业单位：农业服务中心、畜牧站</w:t>
      </w:r>
      <w:r>
        <w:rPr>
          <w:rFonts w:ascii="仿宋" w:hAnsi="仿宋"/>
          <w:sz w:val="30"/>
          <w:szCs w:val="30"/>
        </w:rPr>
        <w:t xml:space="preserve"> </w:t>
      </w:r>
      <w:r>
        <w:rPr>
          <w:rFonts w:hint="eastAsia" w:ascii="仿宋" w:hAnsi="仿宋"/>
          <w:sz w:val="30"/>
          <w:szCs w:val="30"/>
        </w:rPr>
        <w:t>、社保所、文化服务中心、村镇建设管理所、环保所、财政所、水务站。</w:t>
      </w:r>
      <w:r>
        <w:rPr>
          <w:rFonts w:hint="eastAsia" w:ascii="宋体" w:hAnsi="宋体" w:cs="宋体"/>
          <w:bCs/>
          <w:sz w:val="28"/>
          <w:szCs w:val="28"/>
          <w:lang w:val="en-US" w:eastAsia="zh-CN"/>
        </w:rPr>
        <w:t xml:space="preserve">   </w:t>
      </w:r>
      <w:r>
        <w:rPr>
          <w:rStyle w:val="4"/>
          <w:sz w:val="30"/>
          <w:szCs w:val="30"/>
          <w:shd w:val="clear" w:fill="FFFFFF"/>
        </w:rPr>
        <w:t xml:space="preserve">  </w:t>
      </w:r>
    </w:p>
    <w:p>
      <w:pPr>
        <w:pStyle w:val="2"/>
        <w:keepNext w:val="0"/>
        <w:keepLines w:val="0"/>
        <w:widowControl/>
        <w:suppressLineNumbers w:val="0"/>
        <w:ind w:left="0" w:right="75"/>
      </w:pPr>
      <w:r>
        <w:rPr>
          <w:sz w:val="30"/>
          <w:szCs w:val="30"/>
          <w:shd w:val="clear" w:fill="FFFFFF"/>
        </w:rPr>
        <w:t xml:space="preserve">  </w:t>
      </w:r>
      <w:r>
        <w:rPr>
          <w:rStyle w:val="4"/>
          <w:sz w:val="30"/>
          <w:szCs w:val="30"/>
          <w:shd w:val="clear" w:fill="FFFFFF"/>
        </w:rPr>
        <w:t>二、部门决算情况说明</w:t>
      </w:r>
    </w:p>
    <w:p>
      <w:pPr>
        <w:pStyle w:val="2"/>
        <w:keepNext w:val="0"/>
        <w:keepLines w:val="0"/>
        <w:widowControl/>
        <w:suppressLineNumbers w:val="0"/>
        <w:ind w:left="0" w:right="75"/>
      </w:pPr>
      <w:r>
        <w:rPr>
          <w:rStyle w:val="4"/>
          <w:sz w:val="30"/>
          <w:szCs w:val="30"/>
          <w:shd w:val="clear" w:fill="FFFFFF"/>
        </w:rPr>
        <w:t>  （一）收入支出决算总体情况说明</w:t>
      </w:r>
    </w:p>
    <w:p>
      <w:pPr>
        <w:pStyle w:val="2"/>
        <w:keepNext w:val="0"/>
        <w:keepLines w:val="0"/>
        <w:widowControl/>
        <w:suppressLineNumbers w:val="0"/>
        <w:ind w:left="0" w:right="75"/>
        <w:rPr>
          <w:rFonts w:hint="default" w:eastAsiaTheme="minorEastAsia"/>
          <w:lang w:val="en-US" w:eastAsia="zh-CN"/>
        </w:rPr>
      </w:pPr>
      <w:r>
        <w:rPr>
          <w:rStyle w:val="4"/>
          <w:sz w:val="30"/>
          <w:szCs w:val="30"/>
          <w:shd w:val="clear" w:fill="FFFFFF"/>
        </w:rPr>
        <w:t>  1.总体情况。</w:t>
      </w:r>
      <w:r>
        <w:rPr>
          <w:sz w:val="30"/>
          <w:szCs w:val="30"/>
          <w:shd w:val="clear" w:fill="FFFFFF"/>
        </w:rPr>
        <w:t>2019年度收入总计1,472.11万元，支出总计1,472.11万元。收支较上年决算数增加11.14万元、增长0.76%，主要原因是</w:t>
      </w:r>
      <w:r>
        <w:rPr>
          <w:rFonts w:hint="eastAsia" w:ascii="宋体" w:hAnsi="宋体"/>
          <w:sz w:val="30"/>
          <w:szCs w:val="30"/>
          <w:lang w:eastAsia="zh-CN"/>
        </w:rPr>
        <w:t>2019年追加生态环境保护专项经费</w:t>
      </w:r>
      <w:r>
        <w:rPr>
          <w:rFonts w:hint="eastAsia" w:ascii="宋体" w:hAnsi="宋体"/>
          <w:sz w:val="30"/>
          <w:szCs w:val="30"/>
          <w:lang w:val="en-US" w:eastAsia="zh-CN"/>
        </w:rPr>
        <w:t>15万元，2019年增人增资调减3万多元。</w:t>
      </w:r>
    </w:p>
    <w:p>
      <w:pPr>
        <w:pStyle w:val="2"/>
        <w:keepNext w:val="0"/>
        <w:keepLines w:val="0"/>
        <w:widowControl/>
        <w:suppressLineNumbers w:val="0"/>
        <w:ind w:left="0" w:right="75"/>
      </w:pPr>
      <w:r>
        <w:rPr>
          <w:rStyle w:val="4"/>
          <w:sz w:val="30"/>
          <w:szCs w:val="30"/>
          <w:shd w:val="clear" w:fill="FFFFFF"/>
        </w:rPr>
        <w:t>  2.收入情况。</w:t>
      </w:r>
      <w:r>
        <w:rPr>
          <w:sz w:val="30"/>
          <w:szCs w:val="30"/>
          <w:shd w:val="clear" w:fill="FFFFFF"/>
        </w:rPr>
        <w:t>2019年度收入合计1,462.51万元，较上年决算数增加1.54万元，增长0.11%，主要原因是</w:t>
      </w:r>
      <w:r>
        <w:rPr>
          <w:rFonts w:hint="eastAsia" w:ascii="宋体" w:hAnsi="宋体"/>
          <w:sz w:val="30"/>
          <w:szCs w:val="30"/>
          <w:lang w:eastAsia="zh-CN"/>
        </w:rPr>
        <w:t>2019年在职人员</w:t>
      </w:r>
      <w:r>
        <w:rPr>
          <w:rFonts w:hint="eastAsia" w:ascii="宋体" w:hAnsi="宋体"/>
          <w:sz w:val="30"/>
          <w:szCs w:val="30"/>
          <w:lang w:val="en-US" w:eastAsia="zh-CN"/>
        </w:rPr>
        <w:t>人员变动，调出人员较多，社保调减3万多，追加生活垃圾处置费5万元。</w:t>
      </w:r>
      <w:r>
        <w:rPr>
          <w:sz w:val="30"/>
          <w:szCs w:val="30"/>
          <w:shd w:val="clear" w:fill="FFFFFF"/>
        </w:rPr>
        <w:t>年初结转和结余9.61万元。</w:t>
      </w:r>
    </w:p>
    <w:p>
      <w:pPr>
        <w:pStyle w:val="2"/>
        <w:keepNext w:val="0"/>
        <w:keepLines w:val="0"/>
        <w:widowControl/>
        <w:suppressLineNumbers w:val="0"/>
        <w:ind w:left="0" w:right="75"/>
        <w:rPr>
          <w:rFonts w:hint="eastAsia" w:eastAsiaTheme="minorEastAsia"/>
          <w:lang w:eastAsia="zh-CN"/>
        </w:rPr>
      </w:pPr>
      <w:r>
        <w:rPr>
          <w:rStyle w:val="4"/>
          <w:sz w:val="30"/>
          <w:szCs w:val="30"/>
          <w:shd w:val="clear" w:fill="FFFFFF"/>
        </w:rPr>
        <w:t>  3.支出情况。</w:t>
      </w:r>
      <w:r>
        <w:rPr>
          <w:sz w:val="30"/>
          <w:szCs w:val="30"/>
          <w:shd w:val="clear" w:fill="FFFFFF"/>
        </w:rPr>
        <w:t>2019年度支出合计1,472.11万元，较上年决算数增加20.75万元，增长1.43%，主要原因是</w:t>
      </w:r>
      <w:r>
        <w:rPr>
          <w:rFonts w:hint="eastAsia" w:ascii="宋体" w:hAnsi="宋体"/>
          <w:sz w:val="30"/>
          <w:szCs w:val="30"/>
          <w:lang w:eastAsia="zh-CN"/>
        </w:rPr>
        <w:t xml:space="preserve"> 2019年追加生态环境保护专项经费</w:t>
      </w:r>
      <w:r>
        <w:rPr>
          <w:rFonts w:hint="eastAsia" w:ascii="宋体" w:hAnsi="宋体"/>
          <w:sz w:val="30"/>
          <w:szCs w:val="30"/>
          <w:lang w:val="en-US" w:eastAsia="zh-CN"/>
        </w:rPr>
        <w:t>15万元</w:t>
      </w:r>
      <w:r>
        <w:rPr>
          <w:rFonts w:hint="eastAsia" w:ascii="宋体" w:hAnsi="宋体"/>
          <w:sz w:val="30"/>
          <w:szCs w:val="30"/>
          <w:lang w:eastAsia="zh-CN"/>
        </w:rPr>
        <w:t>、</w:t>
      </w:r>
      <w:r>
        <w:rPr>
          <w:rFonts w:hint="eastAsia" w:ascii="宋体" w:hAnsi="宋体"/>
          <w:sz w:val="30"/>
          <w:szCs w:val="30"/>
          <w:lang w:val="en-US" w:eastAsia="zh-CN"/>
        </w:rPr>
        <w:t>生活垃圾处置费5万元等。</w:t>
      </w:r>
      <w:r>
        <w:rPr>
          <w:sz w:val="30"/>
          <w:szCs w:val="30"/>
          <w:shd w:val="clear" w:fill="FFFFFF"/>
        </w:rPr>
        <w:t>其中：基本支出1,357.53万元，占92.22%；项目支出114.58万元，占7.78%</w:t>
      </w:r>
      <w:r>
        <w:rPr>
          <w:rFonts w:hint="eastAsia"/>
          <w:sz w:val="30"/>
          <w:szCs w:val="30"/>
          <w:shd w:val="clear" w:fill="FFFFFF"/>
          <w:lang w:eastAsia="zh-CN"/>
        </w:rPr>
        <w:t>。</w:t>
      </w:r>
    </w:p>
    <w:p>
      <w:pPr>
        <w:pStyle w:val="2"/>
        <w:keepNext w:val="0"/>
        <w:keepLines w:val="0"/>
        <w:widowControl/>
        <w:suppressLineNumbers w:val="0"/>
        <w:ind w:left="0" w:right="75"/>
        <w:rPr>
          <w:rFonts w:hint="default" w:eastAsiaTheme="minorEastAsia"/>
          <w:lang w:val="en-US" w:eastAsia="zh-CN"/>
        </w:rPr>
      </w:pPr>
      <w:r>
        <w:rPr>
          <w:rStyle w:val="4"/>
          <w:sz w:val="30"/>
          <w:szCs w:val="30"/>
          <w:shd w:val="clear" w:fill="FFFFFF"/>
        </w:rPr>
        <w:t>  4.结转结余情况。</w:t>
      </w:r>
      <w:r>
        <w:rPr>
          <w:sz w:val="30"/>
          <w:szCs w:val="30"/>
          <w:shd w:val="clear" w:fill="FFFFFF"/>
        </w:rPr>
        <w:t>2019年度年末结转和结余0.00万元，较上年决算数减少9.61万元，下降100.00%，主要原因</w:t>
      </w:r>
      <w:r>
        <w:rPr>
          <w:rFonts w:hint="eastAsia"/>
          <w:sz w:val="30"/>
          <w:szCs w:val="30"/>
          <w:shd w:val="clear" w:fill="FFFFFF"/>
          <w:lang w:val="en-US" w:eastAsia="zh-CN"/>
        </w:rPr>
        <w:t>2019年收支持平没有结转结余。</w:t>
      </w:r>
    </w:p>
    <w:p>
      <w:pPr>
        <w:pStyle w:val="2"/>
        <w:keepNext w:val="0"/>
        <w:keepLines w:val="0"/>
        <w:widowControl/>
        <w:suppressLineNumbers w:val="0"/>
        <w:ind w:left="0" w:right="75"/>
      </w:pPr>
      <w:r>
        <w:rPr>
          <w:rStyle w:val="4"/>
          <w:sz w:val="30"/>
          <w:szCs w:val="30"/>
          <w:shd w:val="clear" w:fill="FFFFFF"/>
        </w:rPr>
        <w:t>  （二）财政拨款收入支出决算总体情况说明</w:t>
      </w:r>
    </w:p>
    <w:p>
      <w:pPr>
        <w:pStyle w:val="2"/>
        <w:keepNext w:val="0"/>
        <w:keepLines w:val="0"/>
        <w:widowControl/>
        <w:suppressLineNumbers w:val="0"/>
        <w:ind w:left="0" w:right="75"/>
      </w:pPr>
      <w:r>
        <w:rPr>
          <w:sz w:val="30"/>
          <w:szCs w:val="30"/>
          <w:shd w:val="clear" w:fill="FFFFFF"/>
        </w:rPr>
        <w:t>  2019年度财政拨款收、支总计1,472.11万元。与2018年相比，财政拨款收、支总计各增加11.14万元，增长0.76%。主要原因是</w:t>
      </w:r>
      <w:r>
        <w:rPr>
          <w:rFonts w:hint="eastAsia" w:ascii="宋体" w:hAnsi="宋体"/>
          <w:sz w:val="30"/>
          <w:szCs w:val="30"/>
          <w:lang w:eastAsia="zh-CN"/>
        </w:rPr>
        <w:t>2019年追加生态环境保护专项经费</w:t>
      </w:r>
      <w:r>
        <w:rPr>
          <w:rFonts w:hint="eastAsia" w:ascii="宋体" w:hAnsi="宋体"/>
          <w:sz w:val="30"/>
          <w:szCs w:val="30"/>
          <w:lang w:val="en-US" w:eastAsia="zh-CN"/>
        </w:rPr>
        <w:t>15万元，</w:t>
      </w:r>
      <w:r>
        <w:rPr>
          <w:rFonts w:hint="eastAsia" w:ascii="宋体" w:hAnsi="宋体"/>
          <w:sz w:val="30"/>
          <w:szCs w:val="30"/>
          <w:lang w:eastAsia="zh-CN"/>
        </w:rPr>
        <w:t>2019年在职人员</w:t>
      </w:r>
      <w:r>
        <w:rPr>
          <w:rFonts w:hint="eastAsia" w:ascii="宋体" w:hAnsi="宋体"/>
          <w:sz w:val="30"/>
          <w:szCs w:val="30"/>
          <w:lang w:val="en-US" w:eastAsia="zh-CN"/>
        </w:rPr>
        <w:t>人员变动大，调出人员比调入人员多，社保调减3万多。</w:t>
      </w:r>
    </w:p>
    <w:p>
      <w:pPr>
        <w:pStyle w:val="2"/>
        <w:keepNext w:val="0"/>
        <w:keepLines w:val="0"/>
        <w:widowControl/>
        <w:suppressLineNumbers w:val="0"/>
        <w:ind w:left="0" w:right="75"/>
      </w:pPr>
      <w:r>
        <w:rPr>
          <w:rStyle w:val="4"/>
          <w:sz w:val="30"/>
          <w:szCs w:val="30"/>
          <w:shd w:val="clear" w:fill="FFFFFF"/>
        </w:rPr>
        <w:t>  （三）一般公共预算财政拨款支出决算情况说明</w:t>
      </w:r>
    </w:p>
    <w:p>
      <w:pPr>
        <w:pStyle w:val="2"/>
        <w:keepNext w:val="0"/>
        <w:keepLines w:val="0"/>
        <w:widowControl/>
        <w:suppressLineNumbers w:val="0"/>
        <w:ind w:left="0" w:right="75"/>
      </w:pPr>
      <w:r>
        <w:rPr>
          <w:rStyle w:val="4"/>
          <w:sz w:val="30"/>
          <w:szCs w:val="30"/>
          <w:shd w:val="clear" w:fill="FFFFFF"/>
        </w:rPr>
        <w:t>  1.收入情况。</w:t>
      </w:r>
      <w:r>
        <w:rPr>
          <w:sz w:val="30"/>
          <w:szCs w:val="30"/>
          <w:shd w:val="clear" w:fill="FFFFFF"/>
        </w:rPr>
        <w:t>2019年度一般公共预算财政拨款收入1,448.64万元，较上年决算数减少1.63万元，下降0.11%。主要原因是</w:t>
      </w:r>
      <w:r>
        <w:rPr>
          <w:rFonts w:hint="eastAsia" w:ascii="宋体" w:hAnsi="宋体"/>
          <w:sz w:val="30"/>
          <w:szCs w:val="30"/>
          <w:lang w:val="en-US" w:eastAsia="zh-CN"/>
        </w:rPr>
        <w:t>2019年公用经费特别是三公经费减少。</w:t>
      </w:r>
      <w:r>
        <w:rPr>
          <w:sz w:val="30"/>
          <w:szCs w:val="30"/>
          <w:shd w:val="clear" w:fill="FFFFFF"/>
        </w:rPr>
        <w:t>较年初预算数增加232.90万元，增长19.16%。主要原因是</w:t>
      </w:r>
      <w:r>
        <w:rPr>
          <w:rFonts w:hint="eastAsia" w:ascii="宋体" w:hAnsi="宋体"/>
          <w:sz w:val="30"/>
          <w:szCs w:val="30"/>
          <w:lang w:eastAsia="zh-CN"/>
        </w:rPr>
        <w:t>2019年追加生态环境保护专项经费、</w:t>
      </w:r>
      <w:r>
        <w:rPr>
          <w:rFonts w:hint="eastAsia" w:ascii="宋体" w:hAnsi="宋体"/>
          <w:sz w:val="30"/>
          <w:szCs w:val="30"/>
          <w:lang w:val="en-US" w:eastAsia="zh-CN"/>
        </w:rPr>
        <w:t>老党员生活补助、义务兵生活补助、生活垃圾处置费等。</w:t>
      </w:r>
      <w:r>
        <w:rPr>
          <w:sz w:val="30"/>
          <w:szCs w:val="30"/>
          <w:shd w:val="clear" w:fill="FFFFFF"/>
        </w:rPr>
        <w:t>此外，年初财政拨款结转和结余9.61万元。</w:t>
      </w:r>
    </w:p>
    <w:p>
      <w:pPr>
        <w:pStyle w:val="2"/>
        <w:keepNext w:val="0"/>
        <w:keepLines w:val="0"/>
        <w:widowControl/>
        <w:suppressLineNumbers w:val="0"/>
        <w:ind w:left="0" w:right="75"/>
      </w:pPr>
      <w:r>
        <w:rPr>
          <w:rStyle w:val="4"/>
          <w:sz w:val="30"/>
          <w:szCs w:val="30"/>
          <w:shd w:val="clear" w:fill="FFFFFF"/>
        </w:rPr>
        <w:t>  2.支出情况。</w:t>
      </w:r>
      <w:r>
        <w:rPr>
          <w:sz w:val="30"/>
          <w:szCs w:val="30"/>
          <w:shd w:val="clear" w:fill="FFFFFF"/>
        </w:rPr>
        <w:t>2019年度一般公共预算财政拨款支出1,458.24万元，较上年决算数增加17.58万元，增长1.22%。主要原因是</w:t>
      </w:r>
      <w:r>
        <w:rPr>
          <w:rFonts w:hint="eastAsia" w:ascii="宋体" w:hAnsi="宋体"/>
          <w:sz w:val="30"/>
          <w:szCs w:val="30"/>
          <w:lang w:eastAsia="zh-CN"/>
        </w:rPr>
        <w:t>2019年追加生态环境保护专项经费</w:t>
      </w:r>
      <w:r>
        <w:rPr>
          <w:rFonts w:hint="eastAsia" w:ascii="宋体" w:hAnsi="宋体"/>
          <w:sz w:val="30"/>
          <w:szCs w:val="30"/>
          <w:lang w:val="en-US" w:eastAsia="zh-CN"/>
        </w:rPr>
        <w:t>15万元等。</w:t>
      </w:r>
    </w:p>
    <w:p>
      <w:pPr>
        <w:pStyle w:val="2"/>
        <w:keepNext w:val="0"/>
        <w:keepLines w:val="0"/>
        <w:widowControl/>
        <w:suppressLineNumbers w:val="0"/>
        <w:ind w:left="0" w:right="75"/>
        <w:rPr>
          <w:rFonts w:hint="default" w:eastAsiaTheme="minorEastAsia"/>
          <w:lang w:val="en-US" w:eastAsia="zh-CN"/>
        </w:rPr>
      </w:pPr>
      <w:r>
        <w:rPr>
          <w:rStyle w:val="4"/>
          <w:sz w:val="30"/>
          <w:szCs w:val="30"/>
          <w:shd w:val="clear" w:fill="FFFFFF"/>
        </w:rPr>
        <w:t>  3.结转结余情况。</w:t>
      </w:r>
      <w:r>
        <w:rPr>
          <w:sz w:val="30"/>
          <w:szCs w:val="30"/>
          <w:shd w:val="clear" w:fill="FFFFFF"/>
        </w:rPr>
        <w:t>2019年度年末一般公共预算财政拨款结转和结余0.00万元，较上年决算数减少9.61万元，下降100.00%，主要原因是</w:t>
      </w:r>
      <w:r>
        <w:rPr>
          <w:rFonts w:hint="eastAsia"/>
          <w:sz w:val="30"/>
          <w:szCs w:val="30"/>
          <w:shd w:val="clear" w:fill="FFFFFF"/>
          <w:lang w:val="en-US" w:eastAsia="zh-CN"/>
        </w:rPr>
        <w:t>2019年收支持平没有结转结余。</w:t>
      </w:r>
    </w:p>
    <w:p>
      <w:pPr>
        <w:ind w:firstLine="590" w:firstLineChars="196"/>
        <w:rPr>
          <w:rFonts w:hint="default" w:eastAsiaTheme="minorEastAsia"/>
          <w:lang w:val="en-US" w:eastAsia="zh-CN"/>
        </w:rPr>
      </w:pPr>
      <w:r>
        <w:rPr>
          <w:rStyle w:val="4"/>
          <w:sz w:val="30"/>
          <w:szCs w:val="30"/>
          <w:shd w:val="clear" w:fill="FFFFFF"/>
        </w:rPr>
        <w:t>  4.比较情况。</w:t>
      </w:r>
      <w:r>
        <w:rPr>
          <w:sz w:val="30"/>
          <w:szCs w:val="30"/>
          <w:shd w:val="clear" w:fill="FFFFFF"/>
        </w:rPr>
        <w:t>本部门2019年度一般公共预算财政拨款支出主要用于以下几个方面：</w:t>
      </w:r>
      <w:r>
        <w:rPr>
          <w:rFonts w:hint="eastAsia" w:ascii="宋体" w:hAnsi="宋体"/>
          <w:sz w:val="28"/>
          <w:szCs w:val="28"/>
        </w:rPr>
        <w:t>一般公共服务支出</w:t>
      </w:r>
      <w:r>
        <w:rPr>
          <w:rFonts w:hint="eastAsia" w:ascii="宋体" w:hAnsi="宋体"/>
          <w:sz w:val="28"/>
          <w:szCs w:val="28"/>
          <w:lang w:eastAsia="zh-CN"/>
        </w:rPr>
        <w:t>、</w:t>
      </w:r>
      <w:r>
        <w:rPr>
          <w:rFonts w:hint="eastAsia" w:ascii="宋体" w:hAnsi="宋体"/>
          <w:sz w:val="28"/>
          <w:szCs w:val="28"/>
        </w:rPr>
        <w:t>文化体育与传媒支出</w:t>
      </w:r>
      <w:r>
        <w:rPr>
          <w:rFonts w:hint="eastAsia" w:ascii="宋体" w:hAnsi="宋体" w:cs="Arial"/>
          <w:kern w:val="0"/>
          <w:sz w:val="28"/>
          <w:szCs w:val="28"/>
          <w:lang w:eastAsia="zh-CN"/>
        </w:rPr>
        <w:t>、</w:t>
      </w:r>
      <w:r>
        <w:rPr>
          <w:rFonts w:hint="eastAsia" w:ascii="宋体" w:hAnsi="宋体" w:cs="Arial"/>
          <w:kern w:val="0"/>
          <w:sz w:val="28"/>
          <w:szCs w:val="28"/>
        </w:rPr>
        <w:t>社会保障和就业支出</w:t>
      </w:r>
      <w:r>
        <w:rPr>
          <w:rFonts w:hint="eastAsia" w:ascii="宋体" w:hAnsi="宋体" w:cs="Arial"/>
          <w:kern w:val="0"/>
          <w:sz w:val="28"/>
          <w:szCs w:val="28"/>
          <w:lang w:eastAsia="zh-CN"/>
        </w:rPr>
        <w:t>、</w:t>
      </w:r>
      <w:r>
        <w:rPr>
          <w:rFonts w:hint="eastAsia" w:ascii="宋体" w:hAnsi="宋体" w:cs="Arial"/>
          <w:kern w:val="0"/>
          <w:sz w:val="28"/>
          <w:szCs w:val="28"/>
        </w:rPr>
        <w:t>医疗卫生与计划生育支出</w:t>
      </w:r>
      <w:r>
        <w:rPr>
          <w:rFonts w:hint="eastAsia" w:ascii="宋体" w:hAnsi="宋体" w:cs="Arial"/>
          <w:kern w:val="0"/>
          <w:sz w:val="28"/>
          <w:szCs w:val="28"/>
          <w:lang w:eastAsia="zh-CN"/>
        </w:rPr>
        <w:t>、</w:t>
      </w:r>
      <w:r>
        <w:rPr>
          <w:rFonts w:hint="eastAsia" w:ascii="宋体" w:hAnsi="宋体" w:cs="Arial"/>
          <w:kern w:val="0"/>
          <w:sz w:val="28"/>
          <w:szCs w:val="28"/>
        </w:rPr>
        <w:t>节能环保支出</w:t>
      </w:r>
      <w:r>
        <w:rPr>
          <w:rFonts w:hint="eastAsia" w:ascii="宋体" w:hAnsi="宋体" w:cs="Arial"/>
          <w:kern w:val="0"/>
          <w:sz w:val="28"/>
          <w:szCs w:val="28"/>
          <w:lang w:eastAsia="zh-CN"/>
        </w:rPr>
        <w:t>、</w:t>
      </w:r>
      <w:r>
        <w:rPr>
          <w:rFonts w:hint="eastAsia" w:ascii="宋体" w:hAnsi="宋体"/>
          <w:sz w:val="28"/>
          <w:szCs w:val="28"/>
        </w:rPr>
        <w:t>城乡社区支出</w:t>
      </w:r>
      <w:r>
        <w:rPr>
          <w:rFonts w:hint="eastAsia" w:ascii="宋体" w:hAnsi="宋体" w:cs="Arial"/>
          <w:kern w:val="0"/>
          <w:sz w:val="28"/>
          <w:szCs w:val="28"/>
          <w:lang w:eastAsia="zh-CN"/>
        </w:rPr>
        <w:t>、</w:t>
      </w:r>
      <w:r>
        <w:rPr>
          <w:rFonts w:hint="eastAsia" w:ascii="宋体" w:hAnsi="宋体"/>
          <w:sz w:val="28"/>
          <w:szCs w:val="28"/>
        </w:rPr>
        <w:t>农林水事务支出</w:t>
      </w:r>
      <w:r>
        <w:rPr>
          <w:rFonts w:hint="eastAsia" w:ascii="宋体" w:hAnsi="宋体" w:cs="Arial"/>
          <w:kern w:val="0"/>
          <w:sz w:val="28"/>
          <w:szCs w:val="28"/>
          <w:lang w:eastAsia="zh-CN"/>
        </w:rPr>
        <w:t>、</w:t>
      </w:r>
      <w:r>
        <w:rPr>
          <w:rFonts w:hint="eastAsia" w:ascii="宋体" w:hAnsi="宋体"/>
          <w:sz w:val="28"/>
          <w:szCs w:val="28"/>
        </w:rPr>
        <w:t>资源勘探信息等支出</w:t>
      </w:r>
      <w:r>
        <w:rPr>
          <w:rFonts w:hint="eastAsia" w:ascii="宋体" w:hAnsi="宋体"/>
          <w:sz w:val="28"/>
          <w:szCs w:val="28"/>
          <w:lang w:eastAsia="zh-CN"/>
        </w:rPr>
        <w:t>、</w:t>
      </w:r>
      <w:r>
        <w:rPr>
          <w:rFonts w:hint="eastAsia" w:ascii="宋体" w:hAnsi="宋体"/>
          <w:sz w:val="28"/>
          <w:szCs w:val="28"/>
        </w:rPr>
        <w:t>住房保障支出</w:t>
      </w:r>
      <w:r>
        <w:rPr>
          <w:rFonts w:hint="eastAsia" w:ascii="宋体" w:hAnsi="宋体"/>
          <w:sz w:val="28"/>
          <w:szCs w:val="28"/>
          <w:lang w:eastAsia="zh-CN"/>
        </w:rPr>
        <w:t>。</w:t>
      </w:r>
      <w:r>
        <w:rPr>
          <w:sz w:val="30"/>
          <w:szCs w:val="30"/>
          <w:shd w:val="clear" w:fill="FFFFFF"/>
        </w:rPr>
        <w:t>（1）一般公共服务支出528.64万元，占36.25%，较年初预算数增加121.88万元，增长29.96%，主要原因是</w:t>
      </w:r>
      <w:r>
        <w:rPr>
          <w:rFonts w:hint="eastAsia"/>
          <w:sz w:val="30"/>
          <w:szCs w:val="30"/>
          <w:shd w:val="clear" w:fill="FFFFFF"/>
          <w:lang w:val="en-US" w:eastAsia="zh-CN"/>
        </w:rPr>
        <w:t>2019在职人员年工资调资，2019年公务员目标考核和事业单位超额绩效比2018年基数有所提高</w:t>
      </w:r>
      <w:r>
        <w:rPr>
          <w:sz w:val="30"/>
          <w:szCs w:val="30"/>
          <w:shd w:val="clear" w:fill="FFFFFF"/>
        </w:rPr>
        <w:t> </w:t>
      </w:r>
      <w:r>
        <w:rPr>
          <w:rFonts w:hint="eastAsia"/>
          <w:sz w:val="30"/>
          <w:szCs w:val="30"/>
          <w:shd w:val="clear" w:fill="FFFFFF"/>
          <w:lang w:val="en-US" w:eastAsia="zh-CN"/>
        </w:rPr>
        <w:t>。</w:t>
      </w:r>
      <w:r>
        <w:rPr>
          <w:sz w:val="30"/>
          <w:szCs w:val="30"/>
          <w:shd w:val="clear" w:fill="FFFFFF"/>
        </w:rPr>
        <w:t>  （</w:t>
      </w:r>
      <w:r>
        <w:rPr>
          <w:rFonts w:hint="eastAsia"/>
          <w:sz w:val="30"/>
          <w:szCs w:val="30"/>
          <w:shd w:val="clear" w:fill="FFFFFF"/>
          <w:lang w:val="en-US" w:eastAsia="zh-CN"/>
        </w:rPr>
        <w:t>2</w:t>
      </w:r>
      <w:r>
        <w:rPr>
          <w:sz w:val="30"/>
          <w:szCs w:val="30"/>
          <w:shd w:val="clear" w:fill="FFFFFF"/>
        </w:rPr>
        <w:t>）文化旅游体育与传媒支出29.55万元，占2.03%，较年初预算数增加7.61万元，增长34.69%，</w:t>
      </w:r>
      <w:r>
        <w:rPr>
          <w:rFonts w:hint="eastAsia"/>
          <w:sz w:val="30"/>
          <w:szCs w:val="30"/>
          <w:shd w:val="clear" w:fill="FFFFFF"/>
          <w:lang w:val="en-US" w:eastAsia="zh-CN"/>
        </w:rPr>
        <w:t>文化站超额绩效比2018年基数有所提高</w:t>
      </w:r>
      <w:r>
        <w:rPr>
          <w:sz w:val="30"/>
          <w:szCs w:val="30"/>
          <w:shd w:val="clear" w:fill="FFFFFF"/>
        </w:rPr>
        <w:t> </w:t>
      </w:r>
      <w:r>
        <w:rPr>
          <w:rFonts w:hint="eastAsia"/>
          <w:sz w:val="30"/>
          <w:szCs w:val="30"/>
          <w:shd w:val="clear" w:fill="FFFFFF"/>
          <w:lang w:eastAsia="zh-CN"/>
        </w:rPr>
        <w:t>。</w:t>
      </w:r>
      <w:r>
        <w:rPr>
          <w:sz w:val="30"/>
          <w:szCs w:val="30"/>
          <w:shd w:val="clear" w:fill="FFFFFF"/>
        </w:rPr>
        <w:t xml:space="preserve"> （</w:t>
      </w:r>
      <w:r>
        <w:rPr>
          <w:rFonts w:hint="eastAsia"/>
          <w:sz w:val="30"/>
          <w:szCs w:val="30"/>
          <w:shd w:val="clear" w:fill="FFFFFF"/>
          <w:lang w:val="en-US" w:eastAsia="zh-CN"/>
        </w:rPr>
        <w:t>3</w:t>
      </w:r>
      <w:r>
        <w:rPr>
          <w:sz w:val="30"/>
          <w:szCs w:val="30"/>
          <w:shd w:val="clear" w:fill="FFFFFF"/>
        </w:rPr>
        <w:t>）社会保障与就业支出233.90万元，占16.04%，较年初预算数增加25.04万元，增长11.99%，主要原因是</w:t>
      </w:r>
      <w:r>
        <w:rPr>
          <w:rFonts w:hint="eastAsia"/>
          <w:sz w:val="30"/>
          <w:szCs w:val="30"/>
          <w:shd w:val="clear" w:fill="FFFFFF"/>
          <w:lang w:val="en-US" w:eastAsia="zh-CN"/>
        </w:rPr>
        <w:t>社保所超额绩效比2018年基数有所提高</w:t>
      </w:r>
      <w:r>
        <w:rPr>
          <w:sz w:val="30"/>
          <w:szCs w:val="30"/>
          <w:shd w:val="clear" w:fill="FFFFFF"/>
        </w:rPr>
        <w:t> </w:t>
      </w:r>
      <w:r>
        <w:rPr>
          <w:rFonts w:hint="eastAsia"/>
          <w:sz w:val="30"/>
          <w:szCs w:val="30"/>
          <w:shd w:val="clear" w:fill="FFFFFF"/>
          <w:lang w:val="en-US" w:eastAsia="zh-CN"/>
        </w:rPr>
        <w:t>。</w:t>
      </w:r>
      <w:r>
        <w:rPr>
          <w:sz w:val="30"/>
          <w:szCs w:val="30"/>
          <w:shd w:val="clear" w:fill="FFFFFF"/>
        </w:rPr>
        <w:t> （</w:t>
      </w:r>
      <w:r>
        <w:rPr>
          <w:rFonts w:hint="eastAsia"/>
          <w:sz w:val="30"/>
          <w:szCs w:val="30"/>
          <w:shd w:val="clear" w:fill="FFFFFF"/>
          <w:lang w:val="en-US" w:eastAsia="zh-CN"/>
        </w:rPr>
        <w:t>4</w:t>
      </w:r>
      <w:r>
        <w:rPr>
          <w:sz w:val="30"/>
          <w:szCs w:val="30"/>
          <w:shd w:val="clear" w:fill="FFFFFF"/>
        </w:rPr>
        <w:t>）卫生健康支出84.01万元，占5.76%，较年初预算数增加1.40万元，增长1.69%，主要原因是</w:t>
      </w:r>
      <w:r>
        <w:rPr>
          <w:rFonts w:hint="eastAsia"/>
          <w:sz w:val="30"/>
          <w:szCs w:val="30"/>
          <w:shd w:val="clear" w:fill="FFFFFF"/>
          <w:lang w:val="en-US" w:eastAsia="zh-CN"/>
        </w:rPr>
        <w:t>公务员目标考核比2018年基数有所提高。</w:t>
      </w:r>
      <w:r>
        <w:rPr>
          <w:sz w:val="30"/>
          <w:szCs w:val="30"/>
          <w:shd w:val="clear" w:fill="FFFFFF"/>
        </w:rPr>
        <w:t> （</w:t>
      </w:r>
      <w:r>
        <w:rPr>
          <w:rFonts w:hint="eastAsia"/>
          <w:sz w:val="30"/>
          <w:szCs w:val="30"/>
          <w:shd w:val="clear" w:fill="FFFFFF"/>
          <w:lang w:val="en-US" w:eastAsia="zh-CN"/>
        </w:rPr>
        <w:t>5</w:t>
      </w:r>
      <w:r>
        <w:rPr>
          <w:sz w:val="30"/>
          <w:szCs w:val="30"/>
          <w:shd w:val="clear" w:fill="FFFFFF"/>
        </w:rPr>
        <w:t>）节能环保支出70.05万元，占4.80%，较年初预算数增加29.23万元，增长71.61%，主要原因是</w:t>
      </w:r>
      <w:r>
        <w:rPr>
          <w:rFonts w:hint="eastAsia"/>
          <w:sz w:val="30"/>
          <w:szCs w:val="30"/>
          <w:shd w:val="clear" w:fill="FFFFFF"/>
          <w:lang w:val="en-US" w:eastAsia="zh-CN"/>
        </w:rPr>
        <w:t>环保所超额绩效比2018年基数有所提高。</w:t>
      </w:r>
      <w:r>
        <w:rPr>
          <w:sz w:val="30"/>
          <w:szCs w:val="30"/>
          <w:shd w:val="clear" w:fill="FFFFFF"/>
        </w:rPr>
        <w:t> （</w:t>
      </w:r>
      <w:r>
        <w:rPr>
          <w:rFonts w:hint="eastAsia"/>
          <w:sz w:val="30"/>
          <w:szCs w:val="30"/>
          <w:shd w:val="clear" w:fill="FFFFFF"/>
          <w:lang w:val="en-US" w:eastAsia="zh-CN"/>
        </w:rPr>
        <w:t>6</w:t>
      </w:r>
      <w:r>
        <w:rPr>
          <w:sz w:val="30"/>
          <w:szCs w:val="30"/>
          <w:shd w:val="clear" w:fill="FFFFFF"/>
        </w:rPr>
        <w:t>）城乡社区支出5.00万元，占0.34%，较年初预算数增加5.00万元，增长0.00%，主要原因是</w:t>
      </w:r>
      <w:r>
        <w:rPr>
          <w:rFonts w:hint="eastAsia"/>
          <w:sz w:val="30"/>
          <w:szCs w:val="30"/>
          <w:shd w:val="clear" w:fill="FFFFFF"/>
          <w:lang w:eastAsia="zh-CN"/>
        </w:rPr>
        <w:t>年终调整预算</w:t>
      </w:r>
      <w:r>
        <w:rPr>
          <w:rFonts w:hint="eastAsia"/>
          <w:sz w:val="30"/>
          <w:szCs w:val="30"/>
          <w:shd w:val="clear" w:fill="FFFFFF"/>
          <w:lang w:val="en-US" w:eastAsia="zh-CN"/>
        </w:rPr>
        <w:t>5万元。</w:t>
      </w:r>
      <w:r>
        <w:rPr>
          <w:sz w:val="30"/>
          <w:szCs w:val="30"/>
          <w:shd w:val="clear" w:fill="FFFFFF"/>
        </w:rPr>
        <w:t>（</w:t>
      </w:r>
      <w:r>
        <w:rPr>
          <w:rFonts w:hint="eastAsia"/>
          <w:sz w:val="30"/>
          <w:szCs w:val="30"/>
          <w:shd w:val="clear" w:fill="FFFFFF"/>
          <w:lang w:val="en-US" w:eastAsia="zh-CN"/>
        </w:rPr>
        <w:t>7</w:t>
      </w:r>
      <w:r>
        <w:rPr>
          <w:sz w:val="30"/>
          <w:szCs w:val="30"/>
          <w:shd w:val="clear" w:fill="FFFFFF"/>
        </w:rPr>
        <w:t>）农林水支出452.66万元，占31.04%，较年初预算数增加45.48万元，增长11.17%，主要原因是</w:t>
      </w:r>
      <w:r>
        <w:rPr>
          <w:rFonts w:hint="eastAsia"/>
          <w:sz w:val="30"/>
          <w:szCs w:val="30"/>
          <w:shd w:val="clear" w:fill="FFFFFF"/>
          <w:lang w:val="en-US" w:eastAsia="zh-CN"/>
        </w:rPr>
        <w:t>农业服务中心超额绩效比2018年基数有所提高</w:t>
      </w:r>
      <w:r>
        <w:rPr>
          <w:sz w:val="30"/>
          <w:szCs w:val="30"/>
          <w:shd w:val="clear" w:fill="FFFFFF"/>
        </w:rPr>
        <w:t> </w:t>
      </w:r>
      <w:r>
        <w:rPr>
          <w:rFonts w:hint="eastAsia"/>
          <w:sz w:val="30"/>
          <w:szCs w:val="30"/>
          <w:shd w:val="clear" w:fill="FFFFFF"/>
          <w:lang w:val="en-US" w:eastAsia="zh-CN"/>
        </w:rPr>
        <w:t>。</w:t>
      </w:r>
      <w:r>
        <w:rPr>
          <w:sz w:val="30"/>
          <w:szCs w:val="30"/>
          <w:shd w:val="clear" w:fill="FFFFFF"/>
        </w:rPr>
        <w:t> （</w:t>
      </w:r>
      <w:r>
        <w:rPr>
          <w:rFonts w:hint="eastAsia"/>
          <w:sz w:val="30"/>
          <w:szCs w:val="30"/>
          <w:shd w:val="clear" w:fill="FFFFFF"/>
          <w:lang w:val="en-US" w:eastAsia="zh-CN"/>
        </w:rPr>
        <w:t>8</w:t>
      </w:r>
      <w:r>
        <w:rPr>
          <w:sz w:val="30"/>
          <w:szCs w:val="30"/>
          <w:shd w:val="clear" w:fill="FFFFFF"/>
        </w:rPr>
        <w:t>）住房保障支出54.42万元，占3.73%，较年初预算数增加6.85万元，增长14.40%，主要原因是</w:t>
      </w:r>
      <w:r>
        <w:rPr>
          <w:rFonts w:hint="eastAsia"/>
          <w:sz w:val="30"/>
          <w:szCs w:val="30"/>
          <w:shd w:val="clear" w:fill="FFFFFF"/>
          <w:lang w:val="en-US" w:eastAsia="zh-CN"/>
        </w:rPr>
        <w:t>2019年在职人员工资调资。</w:t>
      </w:r>
    </w:p>
    <w:p>
      <w:pPr>
        <w:pStyle w:val="2"/>
        <w:keepNext w:val="0"/>
        <w:keepLines w:val="0"/>
        <w:widowControl/>
        <w:suppressLineNumbers w:val="0"/>
        <w:ind w:left="0" w:right="75"/>
      </w:pPr>
      <w:r>
        <w:rPr>
          <w:rStyle w:val="4"/>
          <w:sz w:val="30"/>
          <w:szCs w:val="30"/>
          <w:shd w:val="clear" w:fill="FFFFFF"/>
        </w:rPr>
        <w:t>  （四）一般公共预算财政拨款基本支出决算情况说明</w:t>
      </w:r>
    </w:p>
    <w:p>
      <w:pPr>
        <w:pStyle w:val="2"/>
        <w:keepNext w:val="0"/>
        <w:keepLines w:val="0"/>
        <w:widowControl/>
        <w:suppressLineNumbers w:val="0"/>
        <w:ind w:left="0" w:right="75"/>
      </w:pPr>
      <w:r>
        <w:rPr>
          <w:sz w:val="30"/>
          <w:szCs w:val="30"/>
          <w:shd w:val="clear" w:fill="FFFFFF"/>
        </w:rPr>
        <w:t>  2019年度一般公共财政拨款基本支出1,357.53万元。其中：人员经费1,116.54万元，较上年决算数增加16.66万元，增长1.51%，主要原因是</w:t>
      </w:r>
      <w:r>
        <w:rPr>
          <w:rFonts w:hint="eastAsia"/>
          <w:sz w:val="30"/>
          <w:szCs w:val="30"/>
          <w:shd w:val="clear" w:fill="FFFFFF"/>
          <w:lang w:val="en-US" w:eastAsia="zh-CN"/>
        </w:rPr>
        <w:t>2019年在职人员工资调资。</w:t>
      </w:r>
      <w:r>
        <w:rPr>
          <w:sz w:val="30"/>
          <w:szCs w:val="30"/>
          <w:shd w:val="clear" w:fill="FFFFFF"/>
        </w:rPr>
        <w:t>人员经费用途主要包括</w:t>
      </w:r>
      <w:r>
        <w:rPr>
          <w:color w:val="auto"/>
          <w:sz w:val="30"/>
          <w:szCs w:val="30"/>
          <w:shd w:val="clear" w:fill="FFFFFF"/>
        </w:rPr>
        <w:t>基本工资、津贴补贴、奖金、社会保障缴费.....</w:t>
      </w:r>
      <w:r>
        <w:rPr>
          <w:sz w:val="30"/>
          <w:szCs w:val="30"/>
          <w:shd w:val="clear" w:fill="FFFFFF"/>
        </w:rPr>
        <w:t>。公用经费240.99万元，较上年决算数增加117.82万元，增长95.66%，主要原因是</w:t>
      </w:r>
      <w:r>
        <w:rPr>
          <w:rFonts w:hint="eastAsia"/>
          <w:sz w:val="30"/>
          <w:szCs w:val="30"/>
          <w:shd w:val="clear" w:fill="FFFFFF"/>
          <w:lang w:val="en-US" w:eastAsia="zh-CN"/>
        </w:rPr>
        <w:t>2019年公用经费增加了平均每人18000元差旅费</w:t>
      </w:r>
      <w:r>
        <w:rPr>
          <w:sz w:val="30"/>
          <w:szCs w:val="30"/>
          <w:shd w:val="clear" w:fill="FFFFFF"/>
        </w:rPr>
        <w:t>。公用经费用途主要包括</w:t>
      </w:r>
      <w:r>
        <w:rPr>
          <w:color w:val="auto"/>
          <w:sz w:val="30"/>
          <w:szCs w:val="30"/>
          <w:shd w:val="clear" w:fill="FFFFFF"/>
        </w:rPr>
        <w:t>办公费、</w:t>
      </w:r>
      <w:r>
        <w:rPr>
          <w:rFonts w:hint="eastAsia"/>
          <w:color w:val="auto"/>
          <w:sz w:val="30"/>
          <w:szCs w:val="30"/>
          <w:shd w:val="clear" w:fill="FFFFFF"/>
          <w:lang w:eastAsia="zh-CN"/>
        </w:rPr>
        <w:t>广告费</w:t>
      </w:r>
      <w:r>
        <w:rPr>
          <w:color w:val="auto"/>
          <w:sz w:val="30"/>
          <w:szCs w:val="30"/>
          <w:shd w:val="clear" w:fill="FFFFFF"/>
        </w:rPr>
        <w:t>、</w:t>
      </w:r>
      <w:r>
        <w:rPr>
          <w:rFonts w:hint="eastAsia"/>
          <w:color w:val="auto"/>
          <w:sz w:val="30"/>
          <w:szCs w:val="30"/>
          <w:shd w:val="clear" w:fill="FFFFFF"/>
          <w:lang w:eastAsia="zh-CN"/>
        </w:rPr>
        <w:t>邮电费</w:t>
      </w:r>
      <w:r>
        <w:rPr>
          <w:color w:val="auto"/>
          <w:sz w:val="30"/>
          <w:szCs w:val="30"/>
          <w:shd w:val="clear" w:fill="FFFFFF"/>
        </w:rPr>
        <w:t>、</w:t>
      </w:r>
      <w:r>
        <w:rPr>
          <w:rFonts w:hint="eastAsia"/>
          <w:color w:val="auto"/>
          <w:sz w:val="30"/>
          <w:szCs w:val="30"/>
          <w:shd w:val="clear" w:fill="FFFFFF"/>
          <w:lang w:eastAsia="zh-CN"/>
        </w:rPr>
        <w:t>差旅费、公务员车补、公车运行费、会议会、培训费等</w:t>
      </w:r>
    </w:p>
    <w:p>
      <w:pPr>
        <w:pStyle w:val="2"/>
        <w:keepNext w:val="0"/>
        <w:keepLines w:val="0"/>
        <w:widowControl/>
        <w:suppressLineNumbers w:val="0"/>
        <w:ind w:left="0" w:right="75"/>
      </w:pPr>
      <w:r>
        <w:rPr>
          <w:rStyle w:val="4"/>
          <w:sz w:val="30"/>
          <w:szCs w:val="30"/>
          <w:shd w:val="clear" w:fill="FFFFFF"/>
        </w:rPr>
        <w:t>  （五）政府性基金预算收支决算情况说明</w:t>
      </w:r>
    </w:p>
    <w:p>
      <w:pPr>
        <w:pStyle w:val="2"/>
        <w:keepNext w:val="0"/>
        <w:keepLines w:val="0"/>
        <w:widowControl/>
        <w:suppressLineNumbers w:val="0"/>
        <w:ind w:left="0" w:right="75"/>
      </w:pPr>
      <w:r>
        <w:rPr>
          <w:sz w:val="30"/>
          <w:szCs w:val="30"/>
          <w:shd w:val="clear" w:fill="FFFFFF"/>
        </w:rPr>
        <w:t>  2019年度政府性基金预算财政拨款本年收入13.87万元，较上年决算数增加3.17万元，增长29.63%，主要原因是</w:t>
      </w:r>
      <w:r>
        <w:rPr>
          <w:rFonts w:hint="eastAsia"/>
          <w:sz w:val="30"/>
          <w:szCs w:val="30"/>
          <w:shd w:val="clear" w:fill="FFFFFF"/>
          <w:lang w:val="en-US" w:eastAsia="zh-CN"/>
        </w:rPr>
        <w:t>2019年追加预算收入地灾排危3万元，2019年农转非养老保险补助比去年多0.17万元收入。</w:t>
      </w:r>
      <w:r>
        <w:rPr>
          <w:sz w:val="30"/>
          <w:szCs w:val="30"/>
          <w:shd w:val="clear" w:fill="FFFFFF"/>
        </w:rPr>
        <w:t>本年支出13.87万元，较上年决算数增加3.17万元，增长29.63%，主要原因是</w:t>
      </w:r>
      <w:r>
        <w:rPr>
          <w:rFonts w:hint="eastAsia"/>
          <w:sz w:val="30"/>
          <w:szCs w:val="30"/>
          <w:shd w:val="clear" w:fill="FFFFFF"/>
          <w:lang w:val="en-US" w:eastAsia="zh-CN"/>
        </w:rPr>
        <w:t>2019年追加调整预算地灾排危3万元支出，2019年农转非养老保险补助比去年多0.17万元支出。</w:t>
      </w:r>
    </w:p>
    <w:p>
      <w:pPr>
        <w:pStyle w:val="2"/>
        <w:keepNext w:val="0"/>
        <w:keepLines w:val="0"/>
        <w:widowControl/>
        <w:suppressLineNumbers w:val="0"/>
        <w:ind w:left="0" w:right="75"/>
      </w:pPr>
      <w:r>
        <w:rPr>
          <w:rStyle w:val="4"/>
          <w:sz w:val="30"/>
          <w:szCs w:val="30"/>
          <w:shd w:val="clear" w:fill="FFFFFF"/>
        </w:rPr>
        <w:t>  三、“三公”经费情况说明</w:t>
      </w:r>
    </w:p>
    <w:p>
      <w:pPr>
        <w:pStyle w:val="2"/>
        <w:keepNext w:val="0"/>
        <w:keepLines w:val="0"/>
        <w:widowControl/>
        <w:suppressLineNumbers w:val="0"/>
        <w:ind w:left="0" w:right="75"/>
      </w:pPr>
      <w:r>
        <w:rPr>
          <w:rStyle w:val="4"/>
          <w:sz w:val="30"/>
          <w:szCs w:val="30"/>
          <w:shd w:val="clear" w:fill="FFFFFF"/>
        </w:rPr>
        <w:t>  （一）“三公”经费支出总体情况说明</w:t>
      </w:r>
    </w:p>
    <w:p>
      <w:pPr>
        <w:pStyle w:val="2"/>
        <w:keepNext w:val="0"/>
        <w:keepLines w:val="0"/>
        <w:widowControl/>
        <w:suppressLineNumbers w:val="0"/>
        <w:ind w:left="0" w:right="75"/>
        <w:rPr>
          <w:rFonts w:hint="default" w:eastAsiaTheme="minorEastAsia"/>
          <w:lang w:val="en-US" w:eastAsia="zh-CN"/>
        </w:rPr>
      </w:pPr>
      <w:r>
        <w:rPr>
          <w:sz w:val="30"/>
          <w:szCs w:val="30"/>
          <w:shd w:val="clear" w:fill="FFFFFF"/>
        </w:rPr>
        <w:t>  2019年度“三公”经费支出共计11.00万元，较年初预算数减少1.00万元，下降8.33%，主要原因</w:t>
      </w:r>
      <w:r>
        <w:rPr>
          <w:rFonts w:hint="eastAsia"/>
          <w:sz w:val="30"/>
          <w:szCs w:val="30"/>
          <w:shd w:val="clear" w:fill="FFFFFF"/>
          <w:lang w:eastAsia="zh-CN"/>
        </w:rPr>
        <w:t>：</w:t>
      </w:r>
      <w:r>
        <w:rPr>
          <w:color w:val="auto"/>
          <w:sz w:val="30"/>
          <w:szCs w:val="30"/>
          <w:shd w:val="clear" w:fill="FFFFFF"/>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r>
        <w:rPr>
          <w:rFonts w:hint="eastAsia"/>
          <w:color w:val="auto"/>
          <w:sz w:val="30"/>
          <w:szCs w:val="30"/>
          <w:shd w:val="clear" w:fill="FFFFFF"/>
          <w:lang w:eastAsia="zh-CN"/>
        </w:rPr>
        <w:t>。</w:t>
      </w:r>
      <w:r>
        <w:rPr>
          <w:sz w:val="30"/>
          <w:szCs w:val="30"/>
          <w:shd w:val="clear" w:fill="FFFFFF"/>
        </w:rPr>
        <w:t>较上年支出数增加2.00万元，增长22.22%，主要原因是</w:t>
      </w:r>
      <w:r>
        <w:rPr>
          <w:rFonts w:hint="eastAsia"/>
          <w:sz w:val="30"/>
          <w:szCs w:val="30"/>
          <w:shd w:val="clear" w:fill="FFFFFF"/>
          <w:lang w:val="en-US" w:eastAsia="zh-CN"/>
        </w:rPr>
        <w:t>2019年迎接中央环保督察，政府部门一行检查笔山煤矿的租车费。</w:t>
      </w:r>
    </w:p>
    <w:p>
      <w:pPr>
        <w:pStyle w:val="2"/>
        <w:keepNext w:val="0"/>
        <w:keepLines w:val="0"/>
        <w:widowControl/>
        <w:suppressLineNumbers w:val="0"/>
        <w:ind w:left="0" w:right="75"/>
      </w:pPr>
      <w:r>
        <w:rPr>
          <w:rStyle w:val="4"/>
          <w:sz w:val="30"/>
          <w:szCs w:val="30"/>
          <w:shd w:val="clear" w:fill="FFFFFF"/>
        </w:rPr>
        <w:t>  （二）“三公”经费分项支出情况</w:t>
      </w:r>
    </w:p>
    <w:p>
      <w:pPr>
        <w:pStyle w:val="2"/>
        <w:keepNext w:val="0"/>
        <w:keepLines w:val="0"/>
        <w:widowControl/>
        <w:suppressLineNumbers w:val="0"/>
        <w:ind w:left="0" w:right="75"/>
      </w:pPr>
      <w:r>
        <w:rPr>
          <w:sz w:val="30"/>
          <w:szCs w:val="30"/>
          <w:shd w:val="clear" w:fill="FFFFFF"/>
        </w:rPr>
        <w:t>  公务车运行维护费11.00万元，主要用于</w:t>
      </w:r>
      <w:r>
        <w:rPr>
          <w:rFonts w:hint="eastAsia" w:ascii="宋体" w:hAnsi="宋体"/>
          <w:sz w:val="28"/>
          <w:szCs w:val="28"/>
          <w:lang w:val="en-US" w:eastAsia="zh-CN"/>
        </w:rPr>
        <w:t>公务用车保险费1万元， 修理费1万元  ，公务用车运行费油费2万元合计4万元；用于笔山煤矿环保检查租车费用2万元，场镇垃圾清运2万元，农村垃圾清运3万元，合计7万元。</w:t>
      </w:r>
      <w:r>
        <w:rPr>
          <w:sz w:val="30"/>
          <w:szCs w:val="30"/>
          <w:shd w:val="clear" w:fill="FFFFFF"/>
        </w:rPr>
        <w:t>费用支出较年初预算数减少1.00万元，下降8.33%，主要原因</w:t>
      </w:r>
      <w:r>
        <w:rPr>
          <w:rFonts w:hint="eastAsia"/>
          <w:sz w:val="30"/>
          <w:szCs w:val="30"/>
          <w:shd w:val="clear" w:fill="FFFFFF"/>
          <w:lang w:eastAsia="zh-CN"/>
        </w:rPr>
        <w:t>是</w:t>
      </w:r>
      <w:r>
        <w:rPr>
          <w:color w:val="auto"/>
          <w:sz w:val="30"/>
          <w:szCs w:val="30"/>
          <w:shd w:val="clear" w:fill="FFFFFF"/>
        </w:rPr>
        <w:t>严格落实公车使用规定，公车运行维护成本大幅下降</w:t>
      </w:r>
      <w:r>
        <w:rPr>
          <w:rFonts w:hint="eastAsia"/>
          <w:color w:val="auto"/>
          <w:sz w:val="30"/>
          <w:szCs w:val="30"/>
          <w:shd w:val="clear" w:fill="FFFFFF"/>
          <w:lang w:eastAsia="zh-CN"/>
        </w:rPr>
        <w:t>。</w:t>
      </w:r>
      <w:r>
        <w:rPr>
          <w:sz w:val="30"/>
          <w:szCs w:val="30"/>
          <w:shd w:val="clear" w:fill="FFFFFF"/>
        </w:rPr>
        <w:t>较上年支出数增加2.00万元，增长22.22%，主要原因是主要原因是</w:t>
      </w:r>
      <w:r>
        <w:rPr>
          <w:rFonts w:hint="eastAsia"/>
          <w:sz w:val="30"/>
          <w:szCs w:val="30"/>
          <w:shd w:val="clear" w:fill="FFFFFF"/>
          <w:lang w:val="en-US" w:eastAsia="zh-CN"/>
        </w:rPr>
        <w:t>2019年迎接中央环保督察，政府部门一行检查笔山煤矿的租车费。</w:t>
      </w:r>
    </w:p>
    <w:p>
      <w:pPr>
        <w:pStyle w:val="2"/>
        <w:keepNext w:val="0"/>
        <w:keepLines w:val="0"/>
        <w:widowControl/>
        <w:suppressLineNumbers w:val="0"/>
        <w:ind w:left="0" w:right="75"/>
      </w:pPr>
      <w:r>
        <w:rPr>
          <w:rStyle w:val="4"/>
          <w:sz w:val="30"/>
          <w:szCs w:val="30"/>
          <w:shd w:val="clear" w:fill="FFFFFF"/>
        </w:rPr>
        <w:t>  （三）“三公”经费实物量情况</w:t>
      </w:r>
    </w:p>
    <w:p>
      <w:pPr>
        <w:pStyle w:val="2"/>
        <w:keepNext w:val="0"/>
        <w:keepLines w:val="0"/>
        <w:widowControl/>
        <w:suppressLineNumbers w:val="0"/>
        <w:ind w:left="0" w:right="75"/>
      </w:pPr>
      <w:r>
        <w:rPr>
          <w:sz w:val="30"/>
          <w:szCs w:val="30"/>
          <w:shd w:val="clear" w:fill="FFFFFF"/>
        </w:rPr>
        <w:t>  2019年度公务车保有量为1辆；车均维护费</w:t>
      </w:r>
      <w:r>
        <w:rPr>
          <w:rFonts w:hint="eastAsia"/>
          <w:sz w:val="30"/>
          <w:szCs w:val="30"/>
          <w:shd w:val="clear" w:fill="FFFFFF"/>
          <w:lang w:val="en-US" w:eastAsia="zh-CN"/>
        </w:rPr>
        <w:t>4</w:t>
      </w:r>
      <w:r>
        <w:rPr>
          <w:sz w:val="30"/>
          <w:szCs w:val="30"/>
          <w:shd w:val="clear" w:fill="FFFFFF"/>
        </w:rPr>
        <w:t>万元。</w:t>
      </w:r>
    </w:p>
    <w:p>
      <w:pPr>
        <w:pStyle w:val="2"/>
        <w:keepNext w:val="0"/>
        <w:keepLines w:val="0"/>
        <w:widowControl/>
        <w:suppressLineNumbers w:val="0"/>
        <w:ind w:left="0" w:right="75"/>
      </w:pPr>
      <w:r>
        <w:rPr>
          <w:rStyle w:val="4"/>
          <w:sz w:val="30"/>
          <w:szCs w:val="30"/>
          <w:shd w:val="clear" w:fill="FFFFFF"/>
        </w:rPr>
        <w:t>  四、其他需要说明的事项</w:t>
      </w:r>
    </w:p>
    <w:p>
      <w:pPr>
        <w:pStyle w:val="2"/>
        <w:keepNext w:val="0"/>
        <w:keepLines w:val="0"/>
        <w:widowControl/>
        <w:suppressLineNumbers w:val="0"/>
        <w:ind w:left="0" w:right="75"/>
      </w:pPr>
      <w:r>
        <w:rPr>
          <w:rStyle w:val="4"/>
          <w:sz w:val="30"/>
          <w:szCs w:val="30"/>
          <w:shd w:val="clear" w:fill="FFFFFF"/>
        </w:rPr>
        <w:t>  （一）机关运行经费情况说明。</w:t>
      </w:r>
      <w:r>
        <w:rPr>
          <w:sz w:val="30"/>
          <w:szCs w:val="30"/>
          <w:shd w:val="clear" w:fill="FFFFFF"/>
        </w:rPr>
        <w:t>2019年度本部门机关运行经费支出80.83万元，机关运行经费主要用于开支</w:t>
      </w:r>
      <w:r>
        <w:rPr>
          <w:color w:val="auto"/>
          <w:sz w:val="30"/>
          <w:szCs w:val="30"/>
          <w:shd w:val="clear" w:fill="FFFFFF"/>
        </w:rPr>
        <w:t>主要用于办公费、公务车运行维护费、</w:t>
      </w:r>
      <w:r>
        <w:rPr>
          <w:rFonts w:hint="eastAsia"/>
          <w:color w:val="auto"/>
          <w:sz w:val="30"/>
          <w:szCs w:val="30"/>
          <w:shd w:val="clear" w:fill="FFFFFF"/>
          <w:lang w:eastAsia="zh-CN"/>
        </w:rPr>
        <w:t>广告费、邮电费、培训费、差旅费、会议会等。</w:t>
      </w:r>
      <w:r>
        <w:rPr>
          <w:sz w:val="30"/>
          <w:szCs w:val="30"/>
          <w:shd w:val="clear" w:fill="FFFFFF"/>
        </w:rPr>
        <w:t>机关运行经费较上年决算数增加5.80万元，增长7.73%，主要原因是</w:t>
      </w:r>
      <w:r>
        <w:rPr>
          <w:rFonts w:hint="eastAsia"/>
          <w:sz w:val="30"/>
          <w:szCs w:val="30"/>
          <w:shd w:val="clear" w:fill="FFFFFF"/>
          <w:lang w:eastAsia="zh-CN"/>
        </w:rPr>
        <w:t>因为</w:t>
      </w:r>
      <w:r>
        <w:rPr>
          <w:rFonts w:hint="eastAsia"/>
          <w:sz w:val="30"/>
          <w:szCs w:val="30"/>
          <w:shd w:val="clear" w:fill="FFFFFF"/>
          <w:lang w:val="en-US" w:eastAsia="zh-CN"/>
        </w:rPr>
        <w:t>2019年扶贫工作开展会议较频繁，各项办公费、生活会支出增加</w:t>
      </w:r>
      <w:r>
        <w:rPr>
          <w:sz w:val="30"/>
          <w:szCs w:val="30"/>
          <w:shd w:val="clear" w:fill="FFFFFF"/>
        </w:rPr>
        <w:t>。</w:t>
      </w:r>
    </w:p>
    <w:p>
      <w:pPr>
        <w:pStyle w:val="2"/>
        <w:keepNext w:val="0"/>
        <w:keepLines w:val="0"/>
        <w:widowControl/>
        <w:suppressLineNumbers w:val="0"/>
        <w:ind w:left="0" w:right="75"/>
        <w:rPr>
          <w:rFonts w:hint="eastAsia" w:eastAsiaTheme="minorEastAsia"/>
          <w:lang w:eastAsia="zh-CN"/>
        </w:rPr>
      </w:pPr>
      <w:r>
        <w:rPr>
          <w:sz w:val="30"/>
          <w:szCs w:val="30"/>
          <w:shd w:val="clear" w:fill="FFFFFF"/>
        </w:rPr>
        <w:t>  此外，本年度一般公共预算财政拨款会议费支出21.94万元，较上年决算数增加0.00万元，增长0.00%，</w:t>
      </w:r>
      <w:r>
        <w:rPr>
          <w:rFonts w:hint="eastAsia"/>
          <w:sz w:val="30"/>
          <w:szCs w:val="30"/>
          <w:shd w:val="clear" w:fill="FFFFFF"/>
          <w:lang w:eastAsia="zh-CN"/>
        </w:rPr>
        <w:t>与上年度持平。</w:t>
      </w:r>
      <w:r>
        <w:rPr>
          <w:sz w:val="30"/>
          <w:szCs w:val="30"/>
          <w:shd w:val="clear" w:fill="FFFFFF"/>
        </w:rPr>
        <w:t>本年度一般公共预算财政拨款培训费支出0.53万元，较上年决算数增加0.10万元，增长23.26%，主要原因是</w:t>
      </w:r>
      <w:r>
        <w:rPr>
          <w:rFonts w:hint="eastAsia"/>
          <w:sz w:val="30"/>
          <w:szCs w:val="30"/>
          <w:shd w:val="clear" w:fill="FFFFFF"/>
          <w:lang w:eastAsia="zh-CN"/>
        </w:rPr>
        <w:t>召开扶贫档案资料培训费用。</w:t>
      </w:r>
    </w:p>
    <w:p>
      <w:pPr>
        <w:pStyle w:val="2"/>
        <w:keepNext w:val="0"/>
        <w:keepLines w:val="0"/>
        <w:widowControl/>
        <w:suppressLineNumbers w:val="0"/>
        <w:ind w:left="0" w:right="75"/>
        <w:rPr>
          <w:rFonts w:hint="eastAsia" w:eastAsiaTheme="minorEastAsia"/>
          <w:lang w:eastAsia="zh-CN"/>
        </w:rPr>
      </w:pPr>
      <w:r>
        <w:rPr>
          <w:rStyle w:val="4"/>
          <w:sz w:val="30"/>
          <w:szCs w:val="30"/>
          <w:shd w:val="clear" w:fill="FFFFFF"/>
        </w:rPr>
        <w:t>  （二）国有资产占用情况说明。</w:t>
      </w:r>
      <w:r>
        <w:rPr>
          <w:sz w:val="30"/>
          <w:szCs w:val="30"/>
          <w:shd w:val="clear" w:fill="FFFFFF"/>
        </w:rPr>
        <w:t>截至2019年12月31日，本部门共有车辆1辆，</w:t>
      </w:r>
      <w:r>
        <w:rPr>
          <w:color w:val="auto"/>
          <w:sz w:val="30"/>
          <w:szCs w:val="30"/>
          <w:shd w:val="clear" w:fill="FFFFFF"/>
        </w:rPr>
        <w:t>主要是用于</w:t>
      </w:r>
      <w:r>
        <w:rPr>
          <w:rFonts w:hint="eastAsia"/>
          <w:color w:val="auto"/>
          <w:sz w:val="30"/>
          <w:szCs w:val="30"/>
          <w:shd w:val="clear" w:fill="FFFFFF"/>
          <w:lang w:eastAsia="zh-CN"/>
        </w:rPr>
        <w:t>保障机关运行费用（下村指导、检查以及处理镇村各种应急事件）。</w:t>
      </w:r>
    </w:p>
    <w:p>
      <w:pPr>
        <w:pStyle w:val="2"/>
        <w:keepNext w:val="0"/>
        <w:keepLines w:val="0"/>
        <w:widowControl/>
        <w:suppressLineNumbers w:val="0"/>
        <w:ind w:left="0" w:right="75"/>
        <w:rPr>
          <w:rFonts w:hint="eastAsia" w:eastAsiaTheme="minorEastAsia"/>
          <w:lang w:eastAsia="zh-CN"/>
        </w:rPr>
      </w:pPr>
      <w:r>
        <w:rPr>
          <w:rStyle w:val="4"/>
          <w:sz w:val="30"/>
          <w:szCs w:val="30"/>
          <w:shd w:val="clear" w:fill="FFFFFF"/>
        </w:rPr>
        <w:t>  （三）政府采购支出情况说明。</w:t>
      </w:r>
      <w:r>
        <w:rPr>
          <w:rStyle w:val="4"/>
          <w:rFonts w:hint="eastAsia"/>
          <w:sz w:val="30"/>
          <w:szCs w:val="30"/>
          <w:shd w:val="clear" w:fill="FFFFFF"/>
          <w:lang w:val="en-US" w:eastAsia="zh-CN"/>
        </w:rPr>
        <w:t>2019年度我单位未发生政府采购事项，无相关经费支出。</w:t>
      </w:r>
    </w:p>
    <w:p>
      <w:pPr>
        <w:pStyle w:val="2"/>
        <w:keepNext w:val="0"/>
        <w:keepLines w:val="0"/>
        <w:widowControl/>
        <w:suppressLineNumbers w:val="0"/>
        <w:ind w:left="0" w:right="75"/>
      </w:pPr>
      <w:r>
        <w:rPr>
          <w:sz w:val="30"/>
          <w:szCs w:val="30"/>
          <w:shd w:val="clear" w:fill="FFFFFF"/>
        </w:rPr>
        <w:t> </w:t>
      </w:r>
      <w:r>
        <w:rPr>
          <w:rStyle w:val="4"/>
          <w:sz w:val="30"/>
          <w:szCs w:val="30"/>
          <w:shd w:val="clear" w:fill="FFFFFF"/>
        </w:rPr>
        <w:t xml:space="preserve"> 五、预算绩效管理情况说明</w:t>
      </w:r>
    </w:p>
    <w:p>
      <w:pPr>
        <w:pStyle w:val="2"/>
        <w:keepNext w:val="0"/>
        <w:keepLines w:val="0"/>
        <w:widowControl/>
        <w:suppressLineNumbers w:val="0"/>
        <w:ind w:left="0" w:right="75"/>
      </w:pPr>
      <w:r>
        <w:rPr>
          <w:rStyle w:val="4"/>
          <w:sz w:val="30"/>
          <w:szCs w:val="30"/>
          <w:shd w:val="clear" w:fill="FFFFFF"/>
        </w:rPr>
        <w:t>  （一）预算绩效管理工作开展情况</w:t>
      </w:r>
    </w:p>
    <w:p>
      <w:pPr>
        <w:pStyle w:val="2"/>
        <w:keepNext w:val="0"/>
        <w:keepLines w:val="0"/>
        <w:widowControl/>
        <w:suppressLineNumbers w:val="0"/>
        <w:ind w:left="0" w:right="75"/>
        <w:rPr>
          <w:rFonts w:hint="eastAsia" w:eastAsia="宋体"/>
          <w:lang w:eastAsia="zh-CN"/>
        </w:rPr>
      </w:pPr>
      <w:r>
        <w:rPr>
          <w:sz w:val="30"/>
          <w:szCs w:val="30"/>
          <w:shd w:val="clear" w:fill="FFFFFF"/>
        </w:rPr>
        <w:t>根据预算绩效管理要求，本</w:t>
      </w:r>
      <w:r>
        <w:rPr>
          <w:rFonts w:hint="eastAsia"/>
          <w:sz w:val="30"/>
          <w:szCs w:val="30"/>
          <w:shd w:val="clear" w:fill="FFFFFF"/>
          <w:lang w:eastAsia="zh-CN"/>
        </w:rPr>
        <w:t>镇</w:t>
      </w:r>
      <w:r>
        <w:rPr>
          <w:sz w:val="30"/>
          <w:szCs w:val="30"/>
          <w:shd w:val="clear" w:fill="FFFFFF"/>
        </w:rPr>
        <w:t>对</w:t>
      </w:r>
      <w:r>
        <w:rPr>
          <w:rFonts w:hint="eastAsia"/>
          <w:color w:val="auto"/>
          <w:sz w:val="30"/>
          <w:szCs w:val="30"/>
          <w:shd w:val="clear" w:fill="FFFFFF"/>
          <w:lang w:val="en-US" w:eastAsia="zh-CN"/>
        </w:rPr>
        <w:t>11</w:t>
      </w:r>
      <w:r>
        <w:rPr>
          <w:sz w:val="30"/>
          <w:szCs w:val="30"/>
          <w:shd w:val="clear" w:fill="FFFFFF"/>
        </w:rPr>
        <w:t>个项目开展了绩效自评，</w:t>
      </w:r>
      <w:r>
        <w:rPr>
          <w:rFonts w:hint="eastAsia"/>
          <w:sz w:val="30"/>
          <w:szCs w:val="30"/>
          <w:shd w:val="clear" w:fill="FFFFFF"/>
          <w:lang w:eastAsia="zh-CN"/>
        </w:rPr>
        <w:t>统一由重庆市</w:t>
      </w:r>
      <w:r>
        <w:rPr>
          <w:sz w:val="30"/>
          <w:szCs w:val="30"/>
          <w:shd w:val="clear" w:fill="FFFFFF"/>
        </w:rPr>
        <w:t>委托第三方形式开展绩效自评涉及资金</w:t>
      </w:r>
      <w:r>
        <w:rPr>
          <w:rFonts w:hint="eastAsia"/>
          <w:b w:val="0"/>
          <w:bCs w:val="0"/>
          <w:color w:val="auto"/>
          <w:sz w:val="30"/>
          <w:szCs w:val="30"/>
          <w:shd w:val="clear" w:fill="FFFFFF"/>
          <w:lang w:val="en-US" w:eastAsia="zh-CN"/>
        </w:rPr>
        <w:t>338.6</w:t>
      </w:r>
      <w:r>
        <w:rPr>
          <w:sz w:val="30"/>
          <w:szCs w:val="30"/>
          <w:shd w:val="clear" w:fill="FFFFFF"/>
        </w:rPr>
        <w:t>万元，</w:t>
      </w:r>
      <w:r>
        <w:rPr>
          <w:rFonts w:hint="eastAsia" w:ascii="宋体" w:hAnsi="宋体" w:eastAsia="宋体" w:cs="宋体"/>
          <w:i w:val="0"/>
          <w:caps w:val="0"/>
          <w:color w:val="333333"/>
          <w:spacing w:val="0"/>
          <w:sz w:val="30"/>
          <w:szCs w:val="30"/>
          <w:shd w:val="clear" w:fill="FFFFFF"/>
        </w:rPr>
        <w:t>从评价情况来看，2019年共完成资金</w:t>
      </w:r>
      <w:r>
        <w:rPr>
          <w:rFonts w:hint="eastAsia" w:ascii="宋体" w:hAnsi="宋体" w:eastAsia="宋体" w:cs="宋体"/>
          <w:i w:val="0"/>
          <w:caps w:val="0"/>
          <w:color w:val="333333"/>
          <w:spacing w:val="0"/>
          <w:sz w:val="30"/>
          <w:szCs w:val="30"/>
          <w:shd w:val="clear" w:fill="FFFFFF"/>
          <w:lang w:val="en-US" w:eastAsia="zh-CN"/>
        </w:rPr>
        <w:t>338.6万元</w:t>
      </w:r>
      <w:r>
        <w:rPr>
          <w:rFonts w:hint="eastAsia" w:ascii="宋体" w:hAnsi="宋体" w:eastAsia="宋体" w:cs="宋体"/>
          <w:i w:val="0"/>
          <w:caps w:val="0"/>
          <w:color w:val="333333"/>
          <w:spacing w:val="0"/>
          <w:sz w:val="30"/>
          <w:szCs w:val="30"/>
          <w:shd w:val="clear" w:fill="FFFFFF"/>
        </w:rPr>
        <w:t>万元，完成率为</w:t>
      </w:r>
      <w:r>
        <w:rPr>
          <w:rFonts w:hint="eastAsia" w:ascii="宋体" w:hAnsi="宋体" w:eastAsia="宋体" w:cs="宋体"/>
          <w:i w:val="0"/>
          <w:caps w:val="0"/>
          <w:color w:val="333333"/>
          <w:spacing w:val="0"/>
          <w:sz w:val="30"/>
          <w:szCs w:val="30"/>
          <w:shd w:val="clear" w:fill="FFFFFF"/>
          <w:lang w:val="en-US" w:eastAsia="zh-CN"/>
        </w:rPr>
        <w:t>100</w:t>
      </w:r>
      <w:r>
        <w:rPr>
          <w:rFonts w:hint="eastAsia" w:ascii="宋体" w:hAnsi="宋体" w:eastAsia="宋体" w:cs="宋体"/>
          <w:i w:val="0"/>
          <w:caps w:val="0"/>
          <w:color w:val="333333"/>
          <w:spacing w:val="0"/>
          <w:sz w:val="30"/>
          <w:szCs w:val="30"/>
          <w:shd w:val="clear" w:fill="FFFFFF"/>
        </w:rPr>
        <w:t>%</w:t>
      </w:r>
      <w:r>
        <w:rPr>
          <w:rFonts w:hint="eastAsia" w:ascii="宋体" w:hAnsi="宋体" w:eastAsia="宋体" w:cs="宋体"/>
          <w:i w:val="0"/>
          <w:caps w:val="0"/>
          <w:color w:val="333333"/>
          <w:spacing w:val="0"/>
          <w:sz w:val="30"/>
          <w:szCs w:val="30"/>
          <w:shd w:val="clear" w:fill="FFFFFF"/>
          <w:lang w:val="en-US" w:eastAsia="zh-CN"/>
        </w:rPr>
        <w:t>.</w:t>
      </w:r>
    </w:p>
    <w:p>
      <w:pPr>
        <w:pStyle w:val="2"/>
        <w:keepNext w:val="0"/>
        <w:keepLines w:val="0"/>
        <w:widowControl/>
        <w:suppressLineNumbers w:val="0"/>
        <w:ind w:left="0" w:right="75"/>
      </w:pPr>
      <w:r>
        <w:rPr>
          <w:rStyle w:val="4"/>
          <w:sz w:val="30"/>
          <w:szCs w:val="30"/>
          <w:shd w:val="clear" w:fill="FFFFFF"/>
        </w:rPr>
        <w:t>  （二）绩效自评结果</w:t>
      </w:r>
    </w:p>
    <w:p>
      <w:pPr>
        <w:pStyle w:val="2"/>
        <w:keepNext w:val="0"/>
        <w:keepLines w:val="0"/>
        <w:widowControl/>
        <w:suppressLineNumbers w:val="0"/>
        <w:ind w:left="0" w:right="75"/>
      </w:pPr>
      <w:r>
        <w:rPr>
          <w:rStyle w:val="4"/>
          <w:sz w:val="30"/>
          <w:szCs w:val="30"/>
          <w:shd w:val="clear" w:fill="FFFFFF"/>
        </w:rPr>
        <w:t>  1.绩效目标自评表</w:t>
      </w:r>
    </w:p>
    <w:tbl>
      <w:tblPr>
        <w:tblStyle w:val="11"/>
        <w:tblW w:w="9780" w:type="dxa"/>
        <w:jc w:val="center"/>
        <w:tblInd w:w="0" w:type="dxa"/>
        <w:tblLayout w:type="fixed"/>
        <w:tblCellMar>
          <w:top w:w="15" w:type="dxa"/>
          <w:left w:w="15" w:type="dxa"/>
          <w:bottom w:w="15" w:type="dxa"/>
          <w:right w:w="15" w:type="dxa"/>
        </w:tblCellMar>
      </w:tblPr>
      <w:tblGrid>
        <w:gridCol w:w="1275"/>
        <w:gridCol w:w="1140"/>
        <w:gridCol w:w="1695"/>
        <w:gridCol w:w="1275"/>
        <w:gridCol w:w="1275"/>
        <w:gridCol w:w="1455"/>
        <w:gridCol w:w="1665"/>
      </w:tblGrid>
      <w:tr>
        <w:tblPrEx>
          <w:tblLayout w:type="fixed"/>
          <w:tblCellMar>
            <w:top w:w="15" w:type="dxa"/>
            <w:left w:w="15" w:type="dxa"/>
            <w:bottom w:w="15" w:type="dxa"/>
            <w:right w:w="15" w:type="dxa"/>
          </w:tblCellMar>
        </w:tblPrEx>
        <w:trPr>
          <w:trHeight w:val="585" w:hRule="atLeast"/>
          <w:jc w:val="center"/>
        </w:trPr>
        <w:tc>
          <w:tcPr>
            <w:tcW w:w="9780" w:type="dxa"/>
            <w:gridSpan w:val="7"/>
            <w:tcBorders>
              <w:top w:val="single" w:color="FFFFFF" w:sz="6" w:space="0"/>
              <w:left w:val="single" w:color="FFFFFF" w:sz="6" w:space="0"/>
              <w:bottom w:val="single" w:color="FFFFFF" w:sz="6" w:space="0"/>
              <w:right w:val="single" w:color="FFFFFF"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b/>
                <w:bCs/>
                <w:color w:val="000000"/>
                <w:kern w:val="0"/>
                <w:sz w:val="32"/>
              </w:rPr>
              <w:t>2019年度项目绩效目标自评表</w:t>
            </w:r>
          </w:p>
        </w:tc>
      </w:tr>
      <w:tr>
        <w:tblPrEx>
          <w:tblLayout w:type="fixed"/>
          <w:tblCellMar>
            <w:top w:w="15" w:type="dxa"/>
            <w:left w:w="15" w:type="dxa"/>
            <w:bottom w:w="15" w:type="dxa"/>
            <w:right w:w="15" w:type="dxa"/>
          </w:tblCellMar>
        </w:tblPrEx>
        <w:trPr>
          <w:trHeight w:val="645" w:hRule="atLeast"/>
          <w:jc w:val="center"/>
        </w:trPr>
        <w:tc>
          <w:tcPr>
            <w:tcW w:w="12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专项（项目）名称</w:t>
            </w:r>
          </w:p>
        </w:tc>
        <w:tc>
          <w:tcPr>
            <w:tcW w:w="4110" w:type="dxa"/>
            <w:gridSpan w:val="3"/>
            <w:tcBorders>
              <w:top w:val="single" w:color="auto"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i w:val="0"/>
                <w:caps w:val="0"/>
                <w:color w:val="333333"/>
                <w:spacing w:val="0"/>
                <w:sz w:val="27"/>
                <w:szCs w:val="27"/>
                <w:shd w:val="clear" w:color="auto" w:fill="FFFFFF"/>
                <w:lang w:eastAsia="zh-CN"/>
              </w:rPr>
              <w:t>开州区天和镇3000亩油橄榄产业项目</w:t>
            </w:r>
          </w:p>
        </w:tc>
        <w:tc>
          <w:tcPr>
            <w:tcW w:w="1275" w:type="dxa"/>
            <w:tcBorders>
              <w:top w:val="single" w:color="auto"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自评总分（分）</w:t>
            </w:r>
          </w:p>
        </w:tc>
        <w:tc>
          <w:tcPr>
            <w:tcW w:w="3120" w:type="dxa"/>
            <w:gridSpan w:val="2"/>
            <w:tcBorders>
              <w:top w:val="single" w:color="auto"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100　</w:t>
            </w:r>
          </w:p>
        </w:tc>
      </w:tr>
      <w:tr>
        <w:tblPrEx>
          <w:tblLayout w:type="fixed"/>
          <w:tblCellMar>
            <w:top w:w="15" w:type="dxa"/>
            <w:left w:w="15" w:type="dxa"/>
            <w:bottom w:w="15" w:type="dxa"/>
            <w:right w:w="15" w:type="dxa"/>
          </w:tblCellMar>
        </w:tblPrEx>
        <w:trPr>
          <w:trHeight w:val="645" w:hRule="atLeast"/>
          <w:jc w:val="center"/>
        </w:trPr>
        <w:tc>
          <w:tcPr>
            <w:tcW w:w="1275" w:type="dxa"/>
            <w:tcBorders>
              <w:top w:val="single" w:color="FFFFFF"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主管部门</w:t>
            </w:r>
          </w:p>
        </w:tc>
        <w:tc>
          <w:tcPr>
            <w:tcW w:w="4110" w:type="dxa"/>
            <w:gridSpan w:val="3"/>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开州区农业农村委</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实施单位</w:t>
            </w:r>
          </w:p>
        </w:tc>
        <w:tc>
          <w:tcPr>
            <w:tcW w:w="3120" w:type="dxa"/>
            <w:gridSpan w:val="2"/>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开州区</w:t>
            </w:r>
            <w:r>
              <w:rPr>
                <w:rFonts w:hint="eastAsia" w:ascii="宋体" w:hAnsi="宋体" w:eastAsia="宋体" w:cs="宋体"/>
                <w:color w:val="000000"/>
                <w:kern w:val="0"/>
                <w:sz w:val="20"/>
                <w:szCs w:val="20"/>
                <w:lang w:eastAsia="zh-CN"/>
              </w:rPr>
              <w:t>天和</w:t>
            </w:r>
            <w:r>
              <w:rPr>
                <w:rFonts w:hint="eastAsia" w:ascii="宋体" w:hAnsi="宋体" w:eastAsia="宋体" w:cs="宋体"/>
                <w:color w:val="000000"/>
                <w:kern w:val="0"/>
                <w:sz w:val="20"/>
                <w:szCs w:val="20"/>
              </w:rPr>
              <w:t>镇人民政府</w:t>
            </w:r>
          </w:p>
        </w:tc>
      </w:tr>
      <w:tr>
        <w:tblPrEx>
          <w:tblLayout w:type="fixed"/>
          <w:tblCellMar>
            <w:top w:w="15" w:type="dxa"/>
            <w:left w:w="15" w:type="dxa"/>
            <w:bottom w:w="15" w:type="dxa"/>
            <w:right w:w="15" w:type="dxa"/>
          </w:tblCellMar>
        </w:tblPrEx>
        <w:trPr>
          <w:trHeight w:val="645" w:hRule="atLeast"/>
          <w:jc w:val="center"/>
        </w:trPr>
        <w:tc>
          <w:tcPr>
            <w:tcW w:w="1275" w:type="dxa"/>
            <w:tcBorders>
              <w:top w:val="single" w:color="FFFFFF"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联系人</w:t>
            </w:r>
          </w:p>
        </w:tc>
        <w:tc>
          <w:tcPr>
            <w:tcW w:w="4110" w:type="dxa"/>
            <w:gridSpan w:val="3"/>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0"/>
                <w:szCs w:val="20"/>
                <w:lang w:eastAsia="zh-CN"/>
              </w:rPr>
              <w:t>向玲</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联系电话</w:t>
            </w:r>
          </w:p>
        </w:tc>
        <w:tc>
          <w:tcPr>
            <w:tcW w:w="3120" w:type="dxa"/>
            <w:gridSpan w:val="2"/>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52745139</w:t>
            </w:r>
          </w:p>
        </w:tc>
      </w:tr>
      <w:tr>
        <w:tblPrEx>
          <w:tblLayout w:type="fixed"/>
          <w:tblCellMar>
            <w:top w:w="15" w:type="dxa"/>
            <w:left w:w="15" w:type="dxa"/>
            <w:bottom w:w="15" w:type="dxa"/>
            <w:right w:w="15" w:type="dxa"/>
          </w:tblCellMar>
        </w:tblPrEx>
        <w:trPr>
          <w:trHeight w:val="705" w:hRule="atLeast"/>
          <w:jc w:val="center"/>
        </w:trPr>
        <w:tc>
          <w:tcPr>
            <w:tcW w:w="1275" w:type="dxa"/>
            <w:vMerge w:val="restart"/>
            <w:tcBorders>
              <w:top w:val="single" w:color="FFFFFF"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项目资金（万元）</w:t>
            </w:r>
          </w:p>
        </w:tc>
        <w:tc>
          <w:tcPr>
            <w:tcW w:w="1140"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p>
        </w:tc>
        <w:tc>
          <w:tcPr>
            <w:tcW w:w="2970" w:type="dxa"/>
            <w:gridSpan w:val="2"/>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全年预算数</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全年执行数</w:t>
            </w:r>
          </w:p>
        </w:tc>
        <w:tc>
          <w:tcPr>
            <w:tcW w:w="145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执行率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p>
        </w:tc>
        <w:tc>
          <w:tcPr>
            <w:tcW w:w="166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执行率得分（分）</w:t>
            </w:r>
          </w:p>
        </w:tc>
      </w:tr>
      <w:tr>
        <w:tblPrEx>
          <w:tblLayout w:type="fixed"/>
          <w:tblCellMar>
            <w:top w:w="15" w:type="dxa"/>
            <w:left w:w="15" w:type="dxa"/>
            <w:bottom w:w="15" w:type="dxa"/>
            <w:right w:w="15" w:type="dxa"/>
          </w:tblCellMar>
        </w:tblPrEx>
        <w:trPr>
          <w:trHeight w:val="645" w:hRule="atLeast"/>
          <w:jc w:val="center"/>
        </w:trPr>
        <w:tc>
          <w:tcPr>
            <w:tcW w:w="1275" w:type="dxa"/>
            <w:vMerge w:val="continue"/>
            <w:tcBorders>
              <w:top w:val="single" w:color="FFFFFF"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 w:val="24"/>
                <w:szCs w:val="24"/>
              </w:rPr>
            </w:pPr>
          </w:p>
        </w:tc>
        <w:tc>
          <w:tcPr>
            <w:tcW w:w="1140"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总量</w:t>
            </w:r>
          </w:p>
        </w:tc>
        <w:tc>
          <w:tcPr>
            <w:tcW w:w="2970" w:type="dxa"/>
            <w:gridSpan w:val="2"/>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r>
              <w:rPr>
                <w:rFonts w:ascii="宋体" w:hAnsi="宋体" w:eastAsia="宋体" w:cs="宋体"/>
                <w:color w:val="333333"/>
                <w:kern w:val="0"/>
                <w:sz w:val="24"/>
                <w:szCs w:val="24"/>
              </w:rPr>
              <w:t>　</w:t>
            </w:r>
          </w:p>
          <w:p>
            <w:pPr>
              <w:widowControl/>
              <w:jc w:val="left"/>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100</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100</w:t>
            </w:r>
          </w:p>
        </w:tc>
        <w:tc>
          <w:tcPr>
            <w:tcW w:w="145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　100%</w:t>
            </w:r>
          </w:p>
        </w:tc>
        <w:tc>
          <w:tcPr>
            <w:tcW w:w="166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　100</w:t>
            </w:r>
          </w:p>
        </w:tc>
      </w:tr>
      <w:tr>
        <w:tblPrEx>
          <w:tblLayout w:type="fixed"/>
          <w:tblCellMar>
            <w:top w:w="15" w:type="dxa"/>
            <w:left w:w="15" w:type="dxa"/>
            <w:bottom w:w="15" w:type="dxa"/>
            <w:right w:w="15" w:type="dxa"/>
          </w:tblCellMar>
        </w:tblPrEx>
        <w:trPr>
          <w:trHeight w:val="645" w:hRule="atLeast"/>
          <w:jc w:val="center"/>
        </w:trPr>
        <w:tc>
          <w:tcPr>
            <w:tcW w:w="1275" w:type="dxa"/>
            <w:vMerge w:val="continue"/>
            <w:tcBorders>
              <w:top w:val="single" w:color="FFFFFF"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 w:val="24"/>
                <w:szCs w:val="24"/>
              </w:rPr>
            </w:pPr>
          </w:p>
        </w:tc>
        <w:tc>
          <w:tcPr>
            <w:tcW w:w="1140"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right"/>
              <w:rPr>
                <w:rFonts w:ascii="宋体" w:hAnsi="宋体" w:eastAsia="宋体" w:cs="宋体"/>
                <w:color w:val="333333"/>
                <w:kern w:val="0"/>
                <w:sz w:val="24"/>
                <w:szCs w:val="24"/>
              </w:rPr>
            </w:pPr>
            <w:r>
              <w:rPr>
                <w:rFonts w:hint="eastAsia" w:ascii="宋体" w:hAnsi="宋体" w:eastAsia="宋体" w:cs="宋体"/>
                <w:color w:val="000000"/>
                <w:kern w:val="0"/>
                <w:sz w:val="20"/>
                <w:szCs w:val="20"/>
              </w:rPr>
              <w:t>其中：财政资金</w:t>
            </w:r>
          </w:p>
        </w:tc>
        <w:tc>
          <w:tcPr>
            <w:tcW w:w="2970" w:type="dxa"/>
            <w:gridSpan w:val="2"/>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r>
              <w:rPr>
                <w:rFonts w:ascii="宋体" w:hAnsi="宋体" w:eastAsia="宋体" w:cs="宋体"/>
                <w:color w:val="333333"/>
                <w:kern w:val="0"/>
                <w:sz w:val="24"/>
                <w:szCs w:val="24"/>
              </w:rPr>
              <w:t>　</w:t>
            </w:r>
          </w:p>
          <w:p>
            <w:pPr>
              <w:widowControl/>
              <w:jc w:val="left"/>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100</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r>
              <w:rPr>
                <w:rFonts w:ascii="宋体" w:hAnsi="宋体" w:eastAsia="宋体" w:cs="宋体"/>
                <w:color w:val="333333"/>
                <w:kern w:val="0"/>
                <w:sz w:val="24"/>
                <w:szCs w:val="24"/>
              </w:rPr>
              <w:t>　</w:t>
            </w:r>
          </w:p>
          <w:p>
            <w:pPr>
              <w:widowControl/>
              <w:jc w:val="left"/>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100</w:t>
            </w:r>
          </w:p>
        </w:tc>
        <w:tc>
          <w:tcPr>
            <w:tcW w:w="3120" w:type="dxa"/>
            <w:gridSpan w:val="2"/>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w:t>
            </w:r>
          </w:p>
        </w:tc>
      </w:tr>
      <w:tr>
        <w:tblPrEx>
          <w:tblLayout w:type="fixed"/>
          <w:tblCellMar>
            <w:top w:w="15" w:type="dxa"/>
            <w:left w:w="15" w:type="dxa"/>
            <w:bottom w:w="15" w:type="dxa"/>
            <w:right w:w="15" w:type="dxa"/>
          </w:tblCellMar>
        </w:tblPrEx>
        <w:trPr>
          <w:trHeight w:val="645" w:hRule="atLeast"/>
          <w:jc w:val="center"/>
        </w:trPr>
        <w:tc>
          <w:tcPr>
            <w:tcW w:w="1275" w:type="dxa"/>
            <w:vMerge w:val="restart"/>
            <w:tcBorders>
              <w:top w:val="single" w:color="FFFFFF"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年度总体目标</w:t>
            </w:r>
          </w:p>
        </w:tc>
        <w:tc>
          <w:tcPr>
            <w:tcW w:w="4110" w:type="dxa"/>
            <w:gridSpan w:val="3"/>
            <w:tcBorders>
              <w:top w:val="single" w:color="000000"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年初设定目标</w:t>
            </w:r>
          </w:p>
        </w:tc>
        <w:tc>
          <w:tcPr>
            <w:tcW w:w="4395" w:type="dxa"/>
            <w:gridSpan w:val="3"/>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全年目标实际完成情况</w:t>
            </w:r>
          </w:p>
        </w:tc>
      </w:tr>
      <w:tr>
        <w:tblPrEx>
          <w:tblLayout w:type="fixed"/>
          <w:tblCellMar>
            <w:top w:w="15" w:type="dxa"/>
            <w:left w:w="15" w:type="dxa"/>
            <w:bottom w:w="15" w:type="dxa"/>
            <w:right w:w="15" w:type="dxa"/>
          </w:tblCellMar>
        </w:tblPrEx>
        <w:trPr>
          <w:trHeight w:val="720" w:hRule="atLeast"/>
          <w:jc w:val="center"/>
        </w:trPr>
        <w:tc>
          <w:tcPr>
            <w:tcW w:w="1275" w:type="dxa"/>
            <w:vMerge w:val="continue"/>
            <w:tcBorders>
              <w:top w:val="single" w:color="FFFFFF"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 w:val="24"/>
                <w:szCs w:val="24"/>
              </w:rPr>
            </w:pPr>
          </w:p>
        </w:tc>
        <w:tc>
          <w:tcPr>
            <w:tcW w:w="4110" w:type="dxa"/>
            <w:gridSpan w:val="3"/>
            <w:tcBorders>
              <w:top w:val="single" w:color="000000" w:sz="6" w:space="0"/>
              <w:left w:val="single" w:color="FFFFFF" w:sz="6" w:space="0"/>
              <w:bottom w:val="single" w:color="auto" w:sz="6" w:space="0"/>
              <w:right w:val="single" w:color="FFFFFF" w:sz="6" w:space="0"/>
            </w:tcBorders>
            <w:shd w:val="clear" w:color="auto" w:fill="auto"/>
            <w:tcMar>
              <w:top w:w="0" w:type="dxa"/>
              <w:left w:w="105" w:type="dxa"/>
              <w:bottom w:w="0" w:type="dxa"/>
              <w:right w:w="105" w:type="dxa"/>
            </w:tcMar>
            <w:vAlign w:val="center"/>
          </w:tcPr>
          <w:p>
            <w:pPr>
              <w:widowControl/>
              <w:jc w:val="center"/>
              <w:rPr>
                <w:rFonts w:hint="default" w:ascii="宋体" w:hAnsi="宋体" w:eastAsia="宋体" w:cs="宋体"/>
                <w:color w:val="333333"/>
                <w:kern w:val="0"/>
                <w:sz w:val="24"/>
                <w:szCs w:val="24"/>
                <w:lang w:val="en-US"/>
              </w:rPr>
            </w:pPr>
            <w:r>
              <w:rPr>
                <w:rFonts w:hint="eastAsia" w:ascii="宋体" w:hAnsi="宋体" w:eastAsia="宋体" w:cs="宋体"/>
                <w:i w:val="0"/>
                <w:caps w:val="0"/>
                <w:color w:val="333333"/>
                <w:spacing w:val="0"/>
                <w:sz w:val="20"/>
                <w:szCs w:val="20"/>
                <w:shd w:val="clear" w:color="auto" w:fill="FFFFFF"/>
                <w:lang w:eastAsia="zh-CN"/>
              </w:rPr>
              <w:t>开州区天和镇3000亩油橄榄产业项目</w:t>
            </w:r>
            <w:r>
              <w:rPr>
                <w:rFonts w:hint="eastAsia" w:ascii="宋体" w:hAnsi="宋体" w:eastAsia="宋体" w:cs="宋体"/>
                <w:i w:val="0"/>
                <w:caps w:val="0"/>
                <w:color w:val="333333"/>
                <w:spacing w:val="0"/>
                <w:sz w:val="20"/>
                <w:szCs w:val="20"/>
                <w:shd w:val="clear" w:color="auto" w:fill="FFFFFF"/>
                <w:lang w:val="en-US" w:eastAsia="zh-CN"/>
              </w:rPr>
              <w:t>100万元</w:t>
            </w:r>
          </w:p>
        </w:tc>
        <w:tc>
          <w:tcPr>
            <w:tcW w:w="4395" w:type="dxa"/>
            <w:gridSpan w:val="3"/>
            <w:tcBorders>
              <w:top w:val="single" w:color="000000"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default" w:ascii="宋体" w:hAnsi="宋体" w:eastAsia="宋体" w:cs="宋体"/>
                <w:color w:val="333333"/>
                <w:kern w:val="0"/>
                <w:sz w:val="24"/>
                <w:szCs w:val="24"/>
                <w:lang w:val="en-US"/>
              </w:rPr>
            </w:pPr>
            <w:r>
              <w:rPr>
                <w:rFonts w:hint="eastAsia" w:ascii="宋体" w:hAnsi="宋体" w:eastAsia="宋体" w:cs="宋体"/>
                <w:i w:val="0"/>
                <w:caps w:val="0"/>
                <w:color w:val="333333"/>
                <w:spacing w:val="0"/>
                <w:sz w:val="20"/>
                <w:szCs w:val="20"/>
                <w:shd w:val="clear" w:color="auto" w:fill="FFFFFF"/>
                <w:lang w:eastAsia="zh-CN"/>
              </w:rPr>
              <w:t>完成开州区天和镇3000亩油橄榄产业项目</w:t>
            </w:r>
            <w:r>
              <w:rPr>
                <w:rFonts w:hint="eastAsia" w:ascii="宋体" w:hAnsi="宋体" w:eastAsia="宋体" w:cs="宋体"/>
                <w:i w:val="0"/>
                <w:caps w:val="0"/>
                <w:color w:val="333333"/>
                <w:spacing w:val="0"/>
                <w:sz w:val="20"/>
                <w:szCs w:val="20"/>
                <w:shd w:val="clear" w:color="auto" w:fill="FFFFFF"/>
                <w:lang w:val="en-US" w:eastAsia="zh-CN"/>
              </w:rPr>
              <w:t>100%</w:t>
            </w:r>
          </w:p>
        </w:tc>
      </w:tr>
      <w:tr>
        <w:tblPrEx>
          <w:tblLayout w:type="fixed"/>
          <w:tblCellMar>
            <w:top w:w="15" w:type="dxa"/>
            <w:left w:w="15" w:type="dxa"/>
            <w:bottom w:w="15" w:type="dxa"/>
            <w:right w:w="15" w:type="dxa"/>
          </w:tblCellMar>
        </w:tblPrEx>
        <w:trPr>
          <w:trHeight w:val="637" w:hRule="atLeast"/>
          <w:jc w:val="center"/>
        </w:trPr>
        <w:tc>
          <w:tcPr>
            <w:tcW w:w="1275" w:type="dxa"/>
            <w:vMerge w:val="restart"/>
            <w:tcBorders>
              <w:top w:val="single" w:color="FFFFFF"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绩效指标</w:t>
            </w:r>
          </w:p>
        </w:tc>
        <w:tc>
          <w:tcPr>
            <w:tcW w:w="1140"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指标名称</w:t>
            </w:r>
          </w:p>
        </w:tc>
        <w:tc>
          <w:tcPr>
            <w:tcW w:w="169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计量单位</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年度指标值</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全年完成值</w:t>
            </w:r>
          </w:p>
        </w:tc>
        <w:tc>
          <w:tcPr>
            <w:tcW w:w="3120" w:type="dxa"/>
            <w:gridSpan w:val="2"/>
            <w:tcBorders>
              <w:top w:val="single" w:color="auto"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未完成原因和改进措施及相关说明</w:t>
            </w:r>
          </w:p>
        </w:tc>
      </w:tr>
      <w:tr>
        <w:tblPrEx>
          <w:tblLayout w:type="fixed"/>
          <w:tblCellMar>
            <w:top w:w="15" w:type="dxa"/>
            <w:left w:w="15" w:type="dxa"/>
            <w:bottom w:w="15" w:type="dxa"/>
            <w:right w:w="15" w:type="dxa"/>
          </w:tblCellMar>
        </w:tblPrEx>
        <w:trPr>
          <w:trHeight w:val="480" w:hRule="atLeast"/>
          <w:jc w:val="center"/>
        </w:trPr>
        <w:tc>
          <w:tcPr>
            <w:tcW w:w="1275" w:type="dxa"/>
            <w:vMerge w:val="continue"/>
            <w:tcBorders>
              <w:top w:val="single" w:color="FFFFFF"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 w:val="24"/>
                <w:szCs w:val="24"/>
              </w:rPr>
            </w:pPr>
          </w:p>
        </w:tc>
        <w:tc>
          <w:tcPr>
            <w:tcW w:w="1140"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lang w:eastAsia="zh-CN"/>
              </w:rPr>
              <w:t>数量指标</w:t>
            </w:r>
            <w:r>
              <w:rPr>
                <w:rFonts w:hint="eastAsia" w:ascii="宋体" w:hAnsi="宋体" w:eastAsia="宋体" w:cs="宋体"/>
                <w:color w:val="000000"/>
                <w:kern w:val="0"/>
                <w:sz w:val="20"/>
                <w:szCs w:val="20"/>
              </w:rPr>
              <w:t>　</w:t>
            </w:r>
          </w:p>
        </w:tc>
        <w:tc>
          <w:tcPr>
            <w:tcW w:w="169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　个</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0"/>
                <w:szCs w:val="20"/>
                <w:lang w:val="en-US" w:eastAsia="zh-CN"/>
              </w:rPr>
              <w:t>3</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0"/>
                <w:szCs w:val="20"/>
                <w:lang w:val="en-US" w:eastAsia="zh-CN"/>
              </w:rPr>
              <w:t>3</w:t>
            </w:r>
          </w:p>
        </w:tc>
        <w:tc>
          <w:tcPr>
            <w:tcW w:w="3120" w:type="dxa"/>
            <w:gridSpan w:val="2"/>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p>
        </w:tc>
      </w:tr>
      <w:tr>
        <w:tblPrEx>
          <w:tblLayout w:type="fixed"/>
          <w:tblCellMar>
            <w:top w:w="15" w:type="dxa"/>
            <w:left w:w="15" w:type="dxa"/>
            <w:bottom w:w="15" w:type="dxa"/>
            <w:right w:w="15" w:type="dxa"/>
          </w:tblCellMar>
        </w:tblPrEx>
        <w:trPr>
          <w:trHeight w:val="480" w:hRule="atLeast"/>
          <w:jc w:val="center"/>
        </w:trPr>
        <w:tc>
          <w:tcPr>
            <w:tcW w:w="1275" w:type="dxa"/>
            <w:vMerge w:val="continue"/>
            <w:tcBorders>
              <w:top w:val="single" w:color="FFFFFF"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 w:val="24"/>
                <w:szCs w:val="24"/>
              </w:rPr>
            </w:pPr>
          </w:p>
        </w:tc>
        <w:tc>
          <w:tcPr>
            <w:tcW w:w="1140"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质量指标 　</w:t>
            </w:r>
          </w:p>
        </w:tc>
        <w:tc>
          <w:tcPr>
            <w:tcW w:w="169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720" w:firstLineChars="3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项目验收合格率100%　</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项目验收合格率100%</w:t>
            </w:r>
          </w:p>
        </w:tc>
        <w:tc>
          <w:tcPr>
            <w:tcW w:w="3120" w:type="dxa"/>
            <w:gridSpan w:val="2"/>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p>
        </w:tc>
      </w:tr>
      <w:tr>
        <w:tblPrEx>
          <w:tblLayout w:type="fixed"/>
          <w:tblCellMar>
            <w:top w:w="15" w:type="dxa"/>
            <w:left w:w="15" w:type="dxa"/>
            <w:bottom w:w="15" w:type="dxa"/>
            <w:right w:w="15" w:type="dxa"/>
          </w:tblCellMar>
        </w:tblPrEx>
        <w:trPr>
          <w:trHeight w:val="480" w:hRule="atLeast"/>
          <w:jc w:val="center"/>
        </w:trPr>
        <w:tc>
          <w:tcPr>
            <w:tcW w:w="1275" w:type="dxa"/>
            <w:vMerge w:val="continue"/>
            <w:tcBorders>
              <w:top w:val="single" w:color="FFFFFF"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 w:val="24"/>
                <w:szCs w:val="24"/>
              </w:rPr>
            </w:pPr>
          </w:p>
        </w:tc>
        <w:tc>
          <w:tcPr>
            <w:tcW w:w="1140"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　时效指标</w:t>
            </w:r>
          </w:p>
        </w:tc>
        <w:tc>
          <w:tcPr>
            <w:tcW w:w="169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720" w:firstLineChars="3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项目完成及时率100%　</w:t>
            </w:r>
          </w:p>
        </w:tc>
        <w:tc>
          <w:tcPr>
            <w:tcW w:w="1275" w:type="dxa"/>
            <w:tcBorders>
              <w:top w:val="single" w:color="FFFFFF" w:sz="6" w:space="0"/>
              <w:left w:val="single" w:color="FFFFFF"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项目完成及时率100%</w:t>
            </w:r>
          </w:p>
        </w:tc>
        <w:tc>
          <w:tcPr>
            <w:tcW w:w="3120" w:type="dxa"/>
            <w:gridSpan w:val="2"/>
            <w:tcBorders>
              <w:top w:val="single" w:color="000000" w:sz="6" w:space="0"/>
              <w:left w:val="single" w:color="FFFFFF"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333333"/>
                <w:kern w:val="0"/>
                <w:sz w:val="24"/>
                <w:szCs w:val="24"/>
              </w:rPr>
            </w:pPr>
          </w:p>
        </w:tc>
      </w:tr>
    </w:tbl>
    <w:p>
      <w:pPr>
        <w:pStyle w:val="2"/>
        <w:keepNext w:val="0"/>
        <w:keepLines w:val="0"/>
        <w:widowControl/>
        <w:suppressLineNumbers w:val="0"/>
        <w:ind w:left="0" w:right="75"/>
      </w:pPr>
    </w:p>
    <w:p>
      <w:pPr>
        <w:pStyle w:val="2"/>
        <w:keepNext w:val="0"/>
        <w:keepLines w:val="0"/>
        <w:widowControl/>
        <w:suppressLineNumbers w:val="0"/>
        <w:ind w:left="0" w:right="75"/>
      </w:pPr>
      <w:r>
        <w:rPr>
          <w:rStyle w:val="4"/>
          <w:sz w:val="30"/>
          <w:szCs w:val="30"/>
          <w:shd w:val="clear" w:fill="FFFFFF"/>
        </w:rPr>
        <w:t>  2.绩效自评报告或案例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540"/>
        <w:jc w:val="left"/>
      </w:pPr>
      <w:r>
        <w:rPr>
          <w:rFonts w:hint="eastAsia" w:ascii="宋体" w:hAnsi="宋体" w:eastAsia="宋体" w:cs="宋体"/>
          <w:i w:val="0"/>
          <w:caps w:val="0"/>
          <w:color w:val="333333"/>
          <w:spacing w:val="0"/>
          <w:sz w:val="27"/>
          <w:szCs w:val="27"/>
          <w:shd w:val="clear" w:color="auto" w:fill="FFFFFF"/>
          <w:lang w:eastAsia="zh-CN"/>
        </w:rPr>
        <w:t>天和镇</w:t>
      </w:r>
      <w:r>
        <w:rPr>
          <w:rFonts w:hint="eastAsia" w:ascii="宋体" w:hAnsi="宋体" w:eastAsia="宋体" w:cs="宋体"/>
          <w:i w:val="0"/>
          <w:caps w:val="0"/>
          <w:color w:val="333333"/>
          <w:spacing w:val="0"/>
          <w:sz w:val="27"/>
          <w:szCs w:val="27"/>
          <w:shd w:val="clear" w:color="auto" w:fill="FFFFFF"/>
        </w:rPr>
        <w:t>项目绩效目标自评综述：根据年初设定的绩效目标，我</w:t>
      </w:r>
      <w:r>
        <w:rPr>
          <w:rFonts w:hint="eastAsia" w:ascii="宋体" w:hAnsi="宋体" w:eastAsia="宋体" w:cs="宋体"/>
          <w:i w:val="0"/>
          <w:caps w:val="0"/>
          <w:color w:val="333333"/>
          <w:spacing w:val="0"/>
          <w:sz w:val="27"/>
          <w:szCs w:val="27"/>
          <w:shd w:val="clear" w:color="auto" w:fill="FFFFFF"/>
          <w:lang w:eastAsia="zh-CN"/>
        </w:rPr>
        <w:t>镇</w:t>
      </w:r>
      <w:r>
        <w:rPr>
          <w:rFonts w:hint="eastAsia" w:ascii="宋体" w:hAnsi="宋体" w:eastAsia="宋体" w:cs="宋体"/>
          <w:i w:val="0"/>
          <w:caps w:val="0"/>
          <w:color w:val="333333"/>
          <w:spacing w:val="0"/>
          <w:sz w:val="27"/>
          <w:szCs w:val="27"/>
          <w:shd w:val="clear" w:color="auto" w:fill="FFFFFF"/>
        </w:rPr>
        <w:t>已全额完成项目任务。</w:t>
      </w:r>
      <w:r>
        <w:rPr>
          <w:rFonts w:hint="eastAsia" w:ascii="宋体" w:hAnsi="宋体" w:eastAsia="宋体" w:cs="宋体"/>
          <w:i w:val="0"/>
          <w:caps w:val="0"/>
          <w:color w:val="333333"/>
          <w:spacing w:val="0"/>
          <w:sz w:val="27"/>
          <w:szCs w:val="27"/>
          <w:shd w:val="clear" w:color="auto" w:fill="FFFFFF"/>
          <w:lang w:eastAsia="zh-CN"/>
        </w:rPr>
        <w:t>比如我镇</w:t>
      </w:r>
      <w:r>
        <w:rPr>
          <w:rFonts w:hint="eastAsia" w:ascii="宋体" w:hAnsi="宋体" w:eastAsia="宋体" w:cs="宋体"/>
          <w:i w:val="0"/>
          <w:caps w:val="0"/>
          <w:color w:val="333333"/>
          <w:spacing w:val="0"/>
          <w:sz w:val="27"/>
          <w:szCs w:val="27"/>
          <w:shd w:val="clear" w:color="auto" w:fill="FFFFFF"/>
          <w:lang w:val="en-US" w:eastAsia="zh-CN"/>
        </w:rPr>
        <w:t>3000亩油橄榄产业项目100万元。我镇通过发展3000亩油橄榄园，2020年达到投产期，预计投产后可实现每亩利润0.825元， 总利润可达2475万元，减除管护、采摘、加工、销售等成本费用后，每亩可实现纯利润0.25万元，3000亩共实现纯利润750万元。 人均增收3400元。三个村分别成立经济联合社，经济联合社以财政扶持资金100万与重庆亚兴油橄榄开发有限公司合股，实现保底分红、待产生效益后按股分红。经济联合社分别成立了理事会、监事会，实行统一管理，按《农村集体经济组织章程》明确责任分工，各司其职，有效运行管理机制。入股分红农户约675户2248人，其中建卡贫困户96户352人。扶贫资金形成的各类资产，项目实施主体持有产权的49%，用于合作社的产业发展；村集体经济组织持有产权的51%，其中41%的股权量化给贫困户获取收益，10%的股权收益作为村集体收益，用于与扶贫相关的其他事业。项目完工后受益建档立卡贫困人口满意度95%以上。</w:t>
      </w:r>
    </w:p>
    <w:p>
      <w:pPr>
        <w:pStyle w:val="2"/>
        <w:keepNext w:val="0"/>
        <w:keepLines w:val="0"/>
        <w:widowControl/>
        <w:suppressLineNumbers w:val="0"/>
        <w:ind w:left="0" w:right="75"/>
      </w:pPr>
      <w:r>
        <w:rPr>
          <w:rStyle w:val="4"/>
          <w:sz w:val="30"/>
          <w:szCs w:val="30"/>
          <w:shd w:val="clear" w:fill="FFFFFF"/>
        </w:rPr>
        <w:t>  六、专业名词解释</w:t>
      </w:r>
    </w:p>
    <w:p>
      <w:pPr>
        <w:pStyle w:val="2"/>
        <w:keepNext w:val="0"/>
        <w:keepLines w:val="0"/>
        <w:widowControl/>
        <w:suppressLineNumbers w:val="0"/>
        <w:ind w:left="0" w:right="75"/>
      </w:pPr>
      <w:r>
        <w:rPr>
          <w:rStyle w:val="4"/>
          <w:sz w:val="30"/>
          <w:szCs w:val="30"/>
          <w:shd w:val="clear" w:fill="FFFFFF"/>
        </w:rPr>
        <w:t>  （一）财政拨款收入</w:t>
      </w:r>
      <w:r>
        <w:rPr>
          <w:sz w:val="30"/>
          <w:szCs w:val="30"/>
          <w:shd w:val="clear" w:fill="FFFFFF"/>
        </w:rPr>
        <w:t>：指本年度从本级财政部门取得的财政拨款，包括一般公共预算财政拨款和政府性基金预算财政拨款。</w:t>
      </w:r>
    </w:p>
    <w:p>
      <w:pPr>
        <w:pStyle w:val="2"/>
        <w:keepNext w:val="0"/>
        <w:keepLines w:val="0"/>
        <w:widowControl/>
        <w:suppressLineNumbers w:val="0"/>
        <w:ind w:left="0" w:right="75"/>
      </w:pPr>
      <w:r>
        <w:rPr>
          <w:rStyle w:val="4"/>
          <w:sz w:val="30"/>
          <w:szCs w:val="30"/>
          <w:shd w:val="clear" w:fill="FFFFFF"/>
        </w:rPr>
        <w:t>  （二）事业收入</w:t>
      </w:r>
      <w:r>
        <w:rPr>
          <w:sz w:val="30"/>
          <w:szCs w:val="30"/>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ind w:left="0" w:right="75"/>
      </w:pPr>
      <w:r>
        <w:rPr>
          <w:rStyle w:val="4"/>
          <w:sz w:val="30"/>
          <w:szCs w:val="30"/>
          <w:shd w:val="clear" w:fill="FFFFFF"/>
        </w:rPr>
        <w:t>  （三）经营收入</w:t>
      </w:r>
      <w:r>
        <w:rPr>
          <w:sz w:val="30"/>
          <w:szCs w:val="30"/>
          <w:shd w:val="clear" w:fill="FFFFFF"/>
        </w:rPr>
        <w:t>：指事业单位在专业业务活动及其辅助活动之外开展非独立核算经营活动取得的现金流入。</w:t>
      </w:r>
    </w:p>
    <w:p>
      <w:pPr>
        <w:pStyle w:val="2"/>
        <w:keepNext w:val="0"/>
        <w:keepLines w:val="0"/>
        <w:widowControl/>
        <w:suppressLineNumbers w:val="0"/>
        <w:ind w:left="0" w:right="75"/>
      </w:pPr>
      <w:r>
        <w:rPr>
          <w:rStyle w:val="4"/>
          <w:sz w:val="30"/>
          <w:szCs w:val="30"/>
          <w:shd w:val="clear" w:fill="FFFFFF"/>
        </w:rPr>
        <w:t>  （四）其他收入</w:t>
      </w:r>
      <w:r>
        <w:rPr>
          <w:sz w:val="30"/>
          <w:szCs w:val="30"/>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ind w:left="0" w:right="75"/>
      </w:pPr>
      <w:r>
        <w:rPr>
          <w:rStyle w:val="4"/>
          <w:sz w:val="30"/>
          <w:szCs w:val="30"/>
          <w:shd w:val="clear" w:fill="FFFFFF"/>
        </w:rPr>
        <w:t>  （五）用事业基金弥补收支差额</w:t>
      </w:r>
      <w:r>
        <w:rPr>
          <w:sz w:val="30"/>
          <w:szCs w:val="30"/>
          <w:shd w:val="clear"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ind w:left="0" w:right="75"/>
      </w:pPr>
      <w:r>
        <w:rPr>
          <w:rStyle w:val="4"/>
          <w:sz w:val="30"/>
          <w:szCs w:val="30"/>
          <w:shd w:val="clear" w:fill="FFFFFF"/>
        </w:rPr>
        <w:t>  （六）年初结转和结余</w:t>
      </w:r>
      <w:r>
        <w:rPr>
          <w:sz w:val="30"/>
          <w:szCs w:val="30"/>
          <w:shd w:val="clear" w:fill="FFFFFF"/>
        </w:rPr>
        <w:t>：指单位上年结转本年使用的基本支出结转、项目支出结转和结余、经营结余。</w:t>
      </w:r>
    </w:p>
    <w:p>
      <w:pPr>
        <w:pStyle w:val="2"/>
        <w:keepNext w:val="0"/>
        <w:keepLines w:val="0"/>
        <w:widowControl/>
        <w:suppressLineNumbers w:val="0"/>
        <w:ind w:left="0" w:right="75"/>
      </w:pPr>
      <w:r>
        <w:rPr>
          <w:rStyle w:val="4"/>
          <w:sz w:val="30"/>
          <w:szCs w:val="30"/>
          <w:shd w:val="clear" w:fill="FFFFFF"/>
        </w:rPr>
        <w:t>  （七）结余分配</w:t>
      </w:r>
      <w:r>
        <w:rPr>
          <w:sz w:val="30"/>
          <w:szCs w:val="30"/>
          <w:shd w:val="clear" w:fill="FFFFFF"/>
        </w:rPr>
        <w:t>：指单位按照国家有关规定，缴纳所得税、提取专用基金、转入事业基金等当年结余的分配情况。</w:t>
      </w:r>
    </w:p>
    <w:p>
      <w:pPr>
        <w:pStyle w:val="2"/>
        <w:keepNext w:val="0"/>
        <w:keepLines w:val="0"/>
        <w:widowControl/>
        <w:suppressLineNumbers w:val="0"/>
        <w:ind w:left="0" w:right="75"/>
      </w:pPr>
      <w:r>
        <w:rPr>
          <w:rStyle w:val="4"/>
          <w:sz w:val="30"/>
          <w:szCs w:val="30"/>
          <w:shd w:val="clear" w:fill="FFFFFF"/>
        </w:rPr>
        <w:t>  （八）年末结转和结余</w:t>
      </w:r>
      <w:r>
        <w:rPr>
          <w:sz w:val="30"/>
          <w:szCs w:val="30"/>
          <w:shd w:val="clear" w:fill="FFFFFF"/>
        </w:rPr>
        <w:t>：指单位结转下年的基本支出结转、项目支出结转和结余、经营结余。</w:t>
      </w:r>
    </w:p>
    <w:p>
      <w:pPr>
        <w:pStyle w:val="2"/>
        <w:keepNext w:val="0"/>
        <w:keepLines w:val="0"/>
        <w:widowControl/>
        <w:suppressLineNumbers w:val="0"/>
        <w:ind w:left="0" w:right="75"/>
      </w:pPr>
      <w:r>
        <w:rPr>
          <w:rStyle w:val="4"/>
          <w:sz w:val="30"/>
          <w:szCs w:val="30"/>
          <w:shd w:val="clear" w:fill="FFFFFF"/>
        </w:rPr>
        <w:t>  （九）基本支出</w:t>
      </w:r>
      <w:r>
        <w:rPr>
          <w:sz w:val="30"/>
          <w:szCs w:val="30"/>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ind w:left="0" w:right="75"/>
      </w:pPr>
      <w:r>
        <w:rPr>
          <w:rStyle w:val="4"/>
          <w:sz w:val="30"/>
          <w:szCs w:val="30"/>
          <w:shd w:val="clear" w:fill="FFFFFF"/>
        </w:rPr>
        <w:t>  （十）项目支出</w:t>
      </w:r>
      <w:r>
        <w:rPr>
          <w:sz w:val="30"/>
          <w:szCs w:val="30"/>
          <w:shd w:val="clear" w:fill="FFFFFF"/>
        </w:rPr>
        <w:t>：指在基本支出之外为完成特定行政任务和事业发展目标所发生的支出。</w:t>
      </w:r>
    </w:p>
    <w:p>
      <w:pPr>
        <w:pStyle w:val="2"/>
        <w:keepNext w:val="0"/>
        <w:keepLines w:val="0"/>
        <w:widowControl/>
        <w:suppressLineNumbers w:val="0"/>
        <w:ind w:left="0" w:right="75"/>
      </w:pPr>
      <w:r>
        <w:rPr>
          <w:rStyle w:val="4"/>
          <w:sz w:val="30"/>
          <w:szCs w:val="30"/>
          <w:shd w:val="clear" w:fill="FFFFFF"/>
        </w:rPr>
        <w:t>  （十一）经营支出</w:t>
      </w:r>
      <w:r>
        <w:rPr>
          <w:sz w:val="30"/>
          <w:szCs w:val="30"/>
          <w:shd w:val="clear" w:fill="FFFFFF"/>
        </w:rPr>
        <w:t>：指事业单位在专业业务活动及其辅助活动之外开展非独立核算经营活动发生的支出。</w:t>
      </w:r>
    </w:p>
    <w:p>
      <w:pPr>
        <w:pStyle w:val="2"/>
        <w:keepNext w:val="0"/>
        <w:keepLines w:val="0"/>
        <w:widowControl/>
        <w:suppressLineNumbers w:val="0"/>
        <w:ind w:left="0" w:right="75"/>
      </w:pPr>
      <w:r>
        <w:rPr>
          <w:rStyle w:val="4"/>
          <w:sz w:val="30"/>
          <w:szCs w:val="30"/>
          <w:shd w:val="clear" w:fill="FFFFFF"/>
        </w:rPr>
        <w:t>  （十二）“三公”经费</w:t>
      </w:r>
      <w:r>
        <w:rPr>
          <w:sz w:val="30"/>
          <w:szCs w:val="3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ind w:left="0" w:right="75"/>
      </w:pPr>
      <w:r>
        <w:rPr>
          <w:rStyle w:val="4"/>
          <w:sz w:val="30"/>
          <w:szCs w:val="30"/>
          <w:shd w:val="clear" w:fill="FFFFFF"/>
        </w:rPr>
        <w:t>  （十三）机关运行经费</w:t>
      </w:r>
      <w:r>
        <w:rPr>
          <w:sz w:val="30"/>
          <w:szCs w:val="3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ind w:left="0" w:right="75"/>
      </w:pPr>
      <w:r>
        <w:rPr>
          <w:rStyle w:val="4"/>
          <w:sz w:val="30"/>
          <w:szCs w:val="30"/>
          <w:shd w:val="clear" w:fill="FFFFFF"/>
        </w:rPr>
        <w:t>  （十四）工资福利支出（支出经济分类科目类级）</w:t>
      </w:r>
      <w:r>
        <w:rPr>
          <w:sz w:val="30"/>
          <w:szCs w:val="30"/>
          <w:shd w:val="clear" w:fill="FFFFFF"/>
        </w:rPr>
        <w:t>：反映单位开支的在职职工和编制外长期聘用人员的各类劳动报酬，以及为上述人员缴纳的各项社会保险费等。</w:t>
      </w:r>
    </w:p>
    <w:p>
      <w:pPr>
        <w:pStyle w:val="2"/>
        <w:keepNext w:val="0"/>
        <w:keepLines w:val="0"/>
        <w:widowControl/>
        <w:suppressLineNumbers w:val="0"/>
        <w:ind w:left="0" w:right="75"/>
      </w:pPr>
      <w:r>
        <w:rPr>
          <w:rStyle w:val="4"/>
          <w:sz w:val="30"/>
          <w:szCs w:val="30"/>
          <w:shd w:val="clear" w:fill="FFFFFF"/>
        </w:rPr>
        <w:t>  （十五）商品和服务支出（支出经济分类科目类级）</w:t>
      </w:r>
      <w:r>
        <w:rPr>
          <w:sz w:val="30"/>
          <w:szCs w:val="30"/>
          <w:shd w:val="clear" w:fill="FFFFFF"/>
        </w:rPr>
        <w:t>：反映单位购买商品和服务的支出（不包括用于购置固定资产的支出、战略性和应急储备支出）。</w:t>
      </w:r>
    </w:p>
    <w:p>
      <w:pPr>
        <w:pStyle w:val="2"/>
        <w:keepNext w:val="0"/>
        <w:keepLines w:val="0"/>
        <w:widowControl/>
        <w:suppressLineNumbers w:val="0"/>
        <w:ind w:left="0" w:right="75"/>
      </w:pPr>
      <w:r>
        <w:rPr>
          <w:rStyle w:val="4"/>
          <w:sz w:val="30"/>
          <w:szCs w:val="30"/>
          <w:shd w:val="clear" w:fill="FFFFFF"/>
        </w:rPr>
        <w:t>  （十六）对个人和家庭的补助（支出经济分类科目类级）</w:t>
      </w:r>
      <w:r>
        <w:rPr>
          <w:sz w:val="30"/>
          <w:szCs w:val="30"/>
          <w:shd w:val="clear" w:fill="FFFFFF"/>
        </w:rPr>
        <w:t>：反映用于对个人和家庭的补助支出。</w:t>
      </w:r>
    </w:p>
    <w:p>
      <w:pPr>
        <w:pStyle w:val="2"/>
        <w:keepNext w:val="0"/>
        <w:keepLines w:val="0"/>
        <w:widowControl/>
        <w:suppressLineNumbers w:val="0"/>
        <w:ind w:left="0" w:right="75"/>
        <w:rPr>
          <w:sz w:val="30"/>
          <w:szCs w:val="30"/>
          <w:shd w:val="clear" w:fill="FFFFFF"/>
        </w:rPr>
      </w:pPr>
      <w:r>
        <w:rPr>
          <w:rStyle w:val="4"/>
          <w:sz w:val="30"/>
          <w:szCs w:val="30"/>
          <w:shd w:val="clear" w:fill="FFFFFF"/>
        </w:rPr>
        <w:t>  （十七）其他资本性支出（支出经济分类科目类级）</w:t>
      </w:r>
      <w:r>
        <w:rPr>
          <w:sz w:val="30"/>
          <w:szCs w:val="30"/>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ind w:left="0" w:right="75"/>
        <w:rPr>
          <w:rFonts w:hint="default" w:eastAsiaTheme="minorEastAsia"/>
          <w:sz w:val="30"/>
          <w:szCs w:val="30"/>
          <w:shd w:val="clear" w:fill="FFFFFF"/>
          <w:lang w:val="en-US" w:eastAsia="zh-CN"/>
        </w:rPr>
      </w:pPr>
      <w:r>
        <w:rPr>
          <w:rFonts w:hint="eastAsia"/>
          <w:sz w:val="30"/>
          <w:szCs w:val="30"/>
          <w:shd w:val="clear" w:fill="FFFFFF"/>
          <w:lang w:eastAsia="zh-CN"/>
        </w:rPr>
        <w:t>联系方式：</w:t>
      </w:r>
      <w:r>
        <w:rPr>
          <w:rFonts w:hint="eastAsia"/>
          <w:sz w:val="30"/>
          <w:szCs w:val="30"/>
          <w:shd w:val="clear" w:fill="FFFFFF"/>
          <w:lang w:val="en-US" w:eastAsia="zh-CN"/>
        </w:rPr>
        <w:t>52745200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738D7"/>
    <w:rsid w:val="1B4605D5"/>
    <w:rsid w:val="1CBE1B68"/>
    <w:rsid w:val="1F040F41"/>
    <w:rsid w:val="22BC4670"/>
    <w:rsid w:val="2B163ADD"/>
    <w:rsid w:val="2DB13F75"/>
    <w:rsid w:val="462738D7"/>
    <w:rsid w:val="4B5B7AE7"/>
    <w:rsid w:val="602E7A5A"/>
    <w:rsid w:val="61C459AE"/>
    <w:rsid w:val="672D267D"/>
    <w:rsid w:val="691B79BF"/>
    <w:rsid w:val="715B29AF"/>
    <w:rsid w:val="720D4DDD"/>
    <w:rsid w:val="7AB8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HTML Definition"/>
    <w:basedOn w:val="3"/>
    <w:qFormat/>
    <w:uiPriority w:val="0"/>
  </w:style>
  <w:style w:type="character" w:styleId="7">
    <w:name w:val="HTML Variable"/>
    <w:basedOn w:val="3"/>
    <w:qFormat/>
    <w:uiPriority w:val="0"/>
  </w:style>
  <w:style w:type="character" w:styleId="8">
    <w:name w:val="Hyperlink"/>
    <w:basedOn w:val="3"/>
    <w:qFormat/>
    <w:uiPriority w:val="0"/>
    <w:rPr>
      <w:color w:val="0000FF"/>
      <w:u w:val="none"/>
    </w:rPr>
  </w:style>
  <w:style w:type="character" w:styleId="9">
    <w:name w:val="HTML Code"/>
    <w:basedOn w:val="3"/>
    <w:qFormat/>
    <w:uiPriority w:val="0"/>
    <w:rPr>
      <w:rFonts w:ascii="Courier New" w:hAnsi="Courier New"/>
      <w:sz w:val="20"/>
    </w:rPr>
  </w:style>
  <w:style w:type="character" w:styleId="10">
    <w:name w:val="HTML Cite"/>
    <w:basedOn w:val="3"/>
    <w:qFormat/>
    <w:uiPriority w:val="0"/>
  </w:style>
  <w:style w:type="character" w:customStyle="1" w:styleId="12">
    <w:name w:val="clicked"/>
    <w:basedOn w:val="3"/>
    <w:qFormat/>
    <w:uiPriority w:val="0"/>
  </w:style>
  <w:style w:type="character" w:customStyle="1" w:styleId="13">
    <w:name w:val="ui-state-default"/>
    <w:basedOn w:val="3"/>
    <w:qFormat/>
    <w:uiPriority w:val="0"/>
  </w:style>
  <w:style w:type="character" w:customStyle="1" w:styleId="14">
    <w:name w:val="ui-state-active"/>
    <w:basedOn w:val="3"/>
    <w:qFormat/>
    <w:uiPriority w:val="0"/>
  </w:style>
  <w:style w:type="character" w:customStyle="1" w:styleId="15">
    <w:name w:val="button-hover"/>
    <w:basedOn w:val="3"/>
    <w:qFormat/>
    <w:uiPriority w:val="0"/>
  </w:style>
  <w:style w:type="character" w:customStyle="1" w:styleId="16">
    <w:name w:val="button-hover1"/>
    <w:basedOn w:val="3"/>
    <w:qFormat/>
    <w:uiPriority w:val="0"/>
  </w:style>
  <w:style w:type="character" w:customStyle="1" w:styleId="17">
    <w:name w:val="image8"/>
    <w:basedOn w:val="3"/>
    <w:qFormat/>
    <w:uiPriority w:val="0"/>
  </w:style>
  <w:style w:type="character" w:customStyle="1" w:styleId="18">
    <w:name w:val="image9"/>
    <w:basedOn w:val="3"/>
    <w:qFormat/>
    <w:uiPriority w:val="0"/>
  </w:style>
  <w:style w:type="character" w:customStyle="1" w:styleId="19">
    <w:name w:val="image10"/>
    <w:basedOn w:val="3"/>
    <w:qFormat/>
    <w:uiPriority w:val="0"/>
  </w:style>
  <w:style w:type="character" w:customStyle="1" w:styleId="20">
    <w:name w:val="group"/>
    <w:basedOn w:val="3"/>
    <w:qFormat/>
    <w:uiPriority w:val="0"/>
  </w:style>
  <w:style w:type="character" w:customStyle="1" w:styleId="21">
    <w:name w:val="ui-state-hover21"/>
    <w:basedOn w:val="3"/>
    <w:qFormat/>
    <w:uiPriority w:val="0"/>
  </w:style>
  <w:style w:type="character" w:customStyle="1" w:styleId="22">
    <w:name w:val="directchildrenspan"/>
    <w:basedOn w:val="3"/>
    <w:qFormat/>
    <w:uiPriority w:val="0"/>
  </w:style>
  <w:style w:type="character" w:customStyle="1" w:styleId="23">
    <w:name w:val="item-middle"/>
    <w:basedOn w:val="3"/>
    <w:qFormat/>
    <w:uiPriority w:val="0"/>
  </w:style>
  <w:style w:type="character" w:customStyle="1" w:styleId="24">
    <w:name w:val="ui-icon33"/>
    <w:basedOn w:val="3"/>
    <w:qFormat/>
    <w:uiPriority w:val="0"/>
  </w:style>
  <w:style w:type="character" w:customStyle="1" w:styleId="25">
    <w:name w:val="newstitle"/>
    <w:basedOn w:val="3"/>
    <w:qFormat/>
    <w:uiPriority w:val="0"/>
    <w:rPr>
      <w:b/>
      <w:color w:val="000000"/>
      <w:sz w:val="24"/>
      <w:szCs w:val="24"/>
    </w:rPr>
  </w:style>
  <w:style w:type="character" w:customStyle="1" w:styleId="26">
    <w:name w:val="imgspa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2020-09-21T02:16:00Z</dcterms:created>
  <dc:creator>Administrator</dc:creator>
  <cp:lastModifiedBy>张雷</cp:lastModifiedBy>
  <dcterms:modified xsi:type="dcterms:W3CDTF">2023-07-10T07:22:31Z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