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jc w:val="both"/>
        <w:rPr>
          <w:szCs w:val="32"/>
        </w:rPr>
      </w:pPr>
    </w:p>
    <w:p>
      <w:pPr>
        <w:topLinePunct/>
        <w:jc w:val="both"/>
        <w:rPr>
          <w:szCs w:val="32"/>
        </w:rPr>
      </w:pPr>
    </w:p>
    <w:p>
      <w:pPr>
        <w:topLinePunct/>
        <w:jc w:val="both"/>
        <w:rPr>
          <w:szCs w:val="32"/>
        </w:rPr>
      </w:pPr>
      <w:r>
        <w:rPr>
          <w:sz w:val="20"/>
        </w:rPr>
        <w:pict>
          <v:group id="_x0000_s1035" o:spid="_x0000_s1035" o:spt="203" style="position:absolute;left:0pt;margin-left:2.2pt;margin-top:17.8pt;height:146pt;width:433.8pt;z-index:251659264;mso-width-relative:page;mso-height-relative:page;" coordorigin="7486,3897" coordsize="8676,2920">
            <o:lock v:ext="edit" aspectratio="f"/>
            <v:shape id="艺术字 9" o:spid="_x0000_s1027" o:spt="136" type="#_x0000_t136" style="position:absolute;left:7486;top:3897;height:1077;width:8676;" fillcolor="#FF0000" filled="t" stroked="t" coordsize="21600,21600" adj="10800">
              <v:path/>
              <v:fill on="t" color2="#FFFFFF" focussize="0,0"/>
              <v:stroke weight="0pt" color="#FF0000"/>
              <v:imagedata o:title=""/>
              <o:lock v:ext="edit" aspectratio="f"/>
              <v:textpath on="t" fitshape="t" fitpath="t" trim="t" xscale="f" string=" 重庆市开州区郭家镇人民政府" style="font-family:方正小标宋_GBK;font-size:54pt;v-text-align:center;v-text-spacing:68813f;"/>
            </v:shape>
            <v:line id="直线 8" o:spid="_x0000_s1028" o:spt="20" style="position:absolute;left:7595;top:6817;height:1;width:8450;" filled="f" stroked="t" coordsize="21600,21600">
              <v:path arrowok="t"/>
              <v:fill on="f" focussize="0,0"/>
              <v:stroke weight="2.5pt" color="#FF0000"/>
              <v:imagedata o:title=""/>
              <o:lock v:ext="edit" aspectratio="f"/>
            </v:line>
          </v:group>
        </w:pict>
      </w:r>
    </w:p>
    <w:p>
      <w:pPr>
        <w:topLinePunct/>
        <w:jc w:val="both"/>
        <w:rPr>
          <w:szCs w:val="32"/>
        </w:rPr>
      </w:pPr>
    </w:p>
    <w:p>
      <w:pPr>
        <w:topLinePunct/>
        <w:jc w:val="center"/>
        <w:rPr>
          <w:szCs w:val="32"/>
        </w:rPr>
      </w:pPr>
    </w:p>
    <w:p>
      <w:pPr>
        <w:topLinePunct/>
        <w:jc w:val="center"/>
        <w:rPr>
          <w:rFonts w:hint="default" w:ascii="Times New Roman" w:hAnsi="Times New Roman" w:cs="Times New Roman"/>
          <w:szCs w:val="32"/>
        </w:rPr>
      </w:pPr>
    </w:p>
    <w:p>
      <w:pPr>
        <w:spacing w:line="600" w:lineRule="exact"/>
        <w:ind w:firstLine="320" w:firstLineChars="100"/>
        <w:jc w:val="center"/>
        <w:rPr>
          <w:rFonts w:hint="eastAsia" w:ascii="Times New Roman" w:hAnsi="Times New Roman" w:eastAsia="方正仿宋_GBK" w:cs="Times New Roman"/>
          <w:sz w:val="32"/>
          <w:szCs w:val="32"/>
          <w:highlight w:val="none"/>
          <w:lang w:eastAsia="zh-CN"/>
        </w:rPr>
      </w:pPr>
      <w:r>
        <w:rPr>
          <w:rFonts w:hint="eastAsia" w:ascii="方正仿宋_GBK" w:hAnsi="方正仿宋_GBK" w:cs="方正仿宋_GBK"/>
          <w:szCs w:val="32"/>
          <w:lang w:eastAsia="zh-CN"/>
        </w:rPr>
        <w:t>开州郭府文</w:t>
      </w:r>
      <w:r>
        <w:rPr>
          <w:rFonts w:hint="eastAsia" w:ascii="方正仿宋_GBK" w:hAnsi="方正仿宋_GBK" w:eastAsia="方正仿宋_GBK" w:cs="方正仿宋_GBK"/>
          <w:szCs w:val="32"/>
        </w:rPr>
        <w:t>〔</w:t>
      </w:r>
      <w:r>
        <w:rPr>
          <w:rFonts w:hint="eastAsia" w:cs="Times New Roman"/>
          <w:szCs w:val="32"/>
          <w:lang w:val="en-US" w:eastAsia="zh-CN"/>
        </w:rPr>
        <w:t>2026</w:t>
      </w:r>
      <w:r>
        <w:rPr>
          <w:rFonts w:hint="eastAsia" w:ascii="方正仿宋_GBK" w:hAnsi="方正仿宋_GBK" w:eastAsia="方正仿宋_GBK" w:cs="方正仿宋_GBK"/>
          <w:szCs w:val="32"/>
        </w:rPr>
        <w:t>〕</w:t>
      </w:r>
      <w:r>
        <w:rPr>
          <w:rFonts w:hint="eastAsia" w:cs="Times New Roman"/>
          <w:szCs w:val="32"/>
          <w:lang w:val="en-US" w:eastAsia="zh-CN"/>
        </w:rPr>
        <w:t>7</w:t>
      </w:r>
      <w:r>
        <w:rPr>
          <w:rFonts w:hint="eastAsia" w:ascii="方正仿宋_GBK" w:hAnsi="方正仿宋_GBK" w:eastAsia="方正仿宋_GBK" w:cs="方正仿宋_GBK"/>
          <w:szCs w:val="32"/>
        </w:rPr>
        <w:t>号</w:t>
      </w:r>
    </w:p>
    <w:p>
      <w:pPr>
        <w:wordWrap/>
        <w:topLinePunct/>
        <w:ind w:firstLine="320" w:firstLineChars="100"/>
        <w:jc w:val="left"/>
        <w:rPr>
          <w:rFonts w:hint="default" w:ascii="方正楷体_GBK" w:hAnsi="方正楷体_GBK" w:eastAsia="方正仿宋_GBK" w:cs="方正楷体_GBK"/>
          <w:szCs w:val="32"/>
          <w:lang w:val="en-US" w:eastAsia="zh-CN"/>
        </w:rPr>
      </w:pPr>
    </w:p>
    <w:p>
      <w:pPr>
        <w:spacing w:line="600" w:lineRule="exact"/>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重庆市开州区郭家镇人民政府</w:t>
      </w:r>
    </w:p>
    <w:p>
      <w:pPr>
        <w:spacing w:line="600" w:lineRule="exact"/>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关于村镇建设服务中心2026年单位预算情况</w:t>
      </w:r>
    </w:p>
    <w:p>
      <w:pPr>
        <w:keepNext w:val="0"/>
        <w:keepLines w:val="0"/>
        <w:pageBreakBefore w:val="0"/>
        <w:widowControl w:val="0"/>
        <w:kinsoku/>
        <w:wordWrap/>
        <w:overflowPunct/>
        <w:topLinePunct w:val="0"/>
        <w:autoSpaceDE/>
        <w:autoSpaceDN/>
        <w:bidi w:val="0"/>
        <w:adjustRightInd/>
        <w:snapToGrid/>
        <w:spacing w:after="469" w:afterLines="150" w:line="600" w:lineRule="exact"/>
        <w:jc w:val="center"/>
        <w:textAlignment w:val="auto"/>
        <w:rPr>
          <w:rFonts w:hint="eastAsia" w:eastAsia="方正仿宋_GBK"/>
          <w:szCs w:val="32"/>
          <w:lang w:val="en-US" w:eastAsia="zh-CN"/>
        </w:rPr>
      </w:pPr>
      <w:r>
        <w:rPr>
          <w:rFonts w:hint="eastAsia" w:ascii="方正小标宋_GBK" w:hAnsi="方正小标宋_GBK" w:eastAsia="方正小标宋_GBK" w:cs="方正小标宋_GBK"/>
          <w:b w:val="0"/>
          <w:bCs w:val="0"/>
          <w:sz w:val="44"/>
          <w:szCs w:val="44"/>
          <w:lang w:eastAsia="zh-CN"/>
        </w:rPr>
        <w:t>公开的公示</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textAlignment w:val="auto"/>
        <w:rPr>
          <w:rFonts w:hint="eastAsia" w:ascii="Times New Roman" w:hAnsi="Times New Roman" w:cs="Times New Roman"/>
          <w:sz w:val="32"/>
          <w:szCs w:val="32"/>
          <w:highlight w:val="none"/>
          <w:lang w:eastAsia="zh-CN"/>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w:t>
      </w:r>
      <w:r>
        <w:rPr>
          <w:rFonts w:hint="eastAsia" w:eastAsia="方正仿宋_GBK" w:cs="Times New Roman"/>
          <w:sz w:val="32"/>
          <w:szCs w:val="32"/>
          <w:highlight w:val="none"/>
          <w:lang w:eastAsia="zh-CN"/>
        </w:rPr>
        <w:t>和</w:t>
      </w:r>
      <w:r>
        <w:rPr>
          <w:rFonts w:hint="eastAsia" w:ascii="方正仿宋_GBK" w:hAnsi="方正仿宋_GBK" w:eastAsia="方正仿宋_GBK" w:cs="方正仿宋_GBK"/>
          <w:sz w:val="32"/>
          <w:szCs w:val="32"/>
        </w:rPr>
        <w:t>重庆市开州区</w:t>
      </w:r>
      <w:r>
        <w:rPr>
          <w:rFonts w:hint="eastAsia" w:ascii="方正仿宋_GBK" w:hAnsi="方正仿宋_GBK" w:eastAsia="方正仿宋_GBK" w:cs="方正仿宋_GBK"/>
          <w:sz w:val="32"/>
          <w:szCs w:val="32"/>
          <w:lang w:eastAsia="zh-CN"/>
        </w:rPr>
        <w:t>郭家镇人民政府</w:t>
      </w:r>
      <w:r>
        <w:rPr>
          <w:rFonts w:hint="eastAsia" w:ascii="方正仿宋_GBK" w:hAnsi="方正仿宋_GBK" w:eastAsia="方正仿宋_GBK" w:cs="方正仿宋_GBK"/>
          <w:sz w:val="32"/>
          <w:szCs w:val="32"/>
        </w:rPr>
        <w:t>关于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批复</w:t>
      </w:r>
      <w:r>
        <w:rPr>
          <w:rFonts w:hint="eastAsia" w:ascii="Times New Roman" w:hAnsi="Times New Roman" w:eastAsia="方正仿宋_GBK" w:cs="Times New Roman"/>
          <w:sz w:val="32"/>
          <w:szCs w:val="32"/>
          <w:highlight w:val="none"/>
          <w:lang w:val="en-US" w:eastAsia="zh-CN"/>
        </w:rPr>
        <w:t>2026</w:t>
      </w:r>
      <w:r>
        <w:rPr>
          <w:rFonts w:hint="eastAsia" w:ascii="方正仿宋_GBK" w:hAnsi="方正仿宋_GBK" w:eastAsia="方正仿宋_GBK" w:cs="方正仿宋_GBK"/>
          <w:sz w:val="32"/>
          <w:szCs w:val="32"/>
          <w:lang w:val="en-US" w:eastAsia="zh-CN"/>
        </w:rPr>
        <w:t>年单位预算的通知</w:t>
      </w:r>
      <w:r>
        <w:rPr>
          <w:rFonts w:hint="eastAsia" w:ascii="方正仿宋_GBK" w:hAnsi="方正仿宋_GBK" w:eastAsia="方正仿宋_GBK" w:cs="方正仿宋_GBK"/>
          <w:sz w:val="32"/>
          <w:szCs w:val="32"/>
          <w:lang w:eastAsia="zh-CN"/>
        </w:rPr>
        <w:t>》（郭府发〔</w:t>
      </w:r>
      <w:r>
        <w:rPr>
          <w:rFonts w:hint="default" w:ascii="Times New Roman" w:hAnsi="Times New Roman" w:eastAsia="方正仿宋_GBK" w:cs="Times New Roman"/>
          <w:sz w:val="32"/>
          <w:szCs w:val="32"/>
          <w:lang w:val="en-US" w:eastAsia="zh-CN"/>
        </w:rPr>
        <w:t>2026</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Times New Roman"/>
          <w:sz w:val="32"/>
          <w:szCs w:val="32"/>
          <w:highlight w:val="none"/>
          <w:lang w:val="en-US" w:eastAsia="zh-CN"/>
        </w:rPr>
        <w:t>7</w:t>
      </w:r>
      <w:r>
        <w:rPr>
          <w:rFonts w:hint="eastAsia" w:ascii="方正仿宋_GBK" w:hAnsi="方正仿宋_GBK" w:eastAsia="方正仿宋_GBK" w:cs="方正仿宋_GBK"/>
          <w:sz w:val="32"/>
          <w:szCs w:val="32"/>
          <w:lang w:eastAsia="zh-CN"/>
        </w:rPr>
        <w:t>号</w:t>
      </w:r>
      <w:r>
        <w:rPr>
          <w:rFonts w:hint="eastAsia" w:ascii="方正仿宋_GBK" w:hAnsi="方正仿宋_GBK" w:eastAsia="方正仿宋_GBK" w:cs="方正仿宋_GBK"/>
          <w:sz w:val="32"/>
          <w:szCs w:val="32"/>
          <w:lang w:val="en-US" w:eastAsia="zh-CN"/>
        </w:rPr>
        <w:t>)</w:t>
      </w:r>
      <w:r>
        <w:rPr>
          <w:rFonts w:hint="eastAsia" w:ascii="方正仿宋_GBK" w:hAnsi="方正仿宋_GBK" w:cs="方正仿宋_GBK"/>
          <w:sz w:val="32"/>
          <w:szCs w:val="32"/>
          <w:lang w:val="en-US" w:eastAsia="zh-CN"/>
        </w:rPr>
        <w:t>，</w:t>
      </w:r>
      <w:r>
        <w:rPr>
          <w:rFonts w:hint="default" w:ascii="Times New Roman" w:hAnsi="Times New Roman" w:eastAsia="方正仿宋_GBK" w:cs="Times New Roman"/>
          <w:sz w:val="32"/>
          <w:szCs w:val="32"/>
          <w:highlight w:val="none"/>
        </w:rPr>
        <w:t>现将重庆市开州区郭家镇村镇建设服务中心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预算批复情况公开如下：</w:t>
      </w:r>
    </w:p>
    <w:p>
      <w:pPr>
        <w:pStyle w:val="5"/>
        <w:rPr>
          <w:rFonts w:hint="default"/>
        </w:rPr>
      </w:pPr>
    </w:p>
    <w:p>
      <w:pPr>
        <w:rPr>
          <w:rFonts w:hint="default"/>
        </w:rPr>
      </w:pPr>
    </w:p>
    <w:p>
      <w:pPr>
        <w:rPr>
          <w:rFonts w:hint="default"/>
        </w:rPr>
      </w:pPr>
    </w:p>
    <w:p>
      <w:pPr>
        <w:rPr>
          <w:rFonts w:hint="default"/>
        </w:rPr>
      </w:pPr>
    </w:p>
    <w:p>
      <w:pPr>
        <w:rPr>
          <w:rFonts w:hint="default"/>
        </w:rPr>
      </w:pPr>
    </w:p>
    <w:p>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rPr>
          <w:rFonts w:hint="default" w:ascii="Times New Roman" w:hAnsi="Times New Roman" w:cs="Times New Roman"/>
          <w:highlight w:val="none"/>
        </w:rPr>
      </w:pPr>
    </w:p>
    <w:p>
      <w:pPr>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预算情况说明</w:t>
      </w:r>
    </w:p>
    <w:p>
      <w:pPr>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rPr>
          <w:rFonts w:hint="default" w:ascii="Times New Roman" w:hAnsi="Times New Roman" w:eastAsia="方正仿宋_GBK" w:cs="Times New Roman"/>
          <w:sz w:val="32"/>
          <w:szCs w:val="32"/>
          <w:highlight w:val="none"/>
        </w:rPr>
      </w:pPr>
    </w:p>
    <w:p>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预算公开报表</w:t>
      </w:r>
    </w:p>
    <w:p>
      <w:pPr>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表1、重庆市开州区郭家镇村镇建设服务中心收支预算总表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表2、重庆市开州区郭家镇村镇建设服务中心收入总表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表3、重庆市开州区郭家镇村镇建设服务中心本年支出预算总表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表4、重庆市开州区郭家镇村镇建设服务中心财政拨款收支预算总表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表5、重庆市开州区郭家镇村镇建设服务中心本年一般公共预算支出预算表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表6、重庆市开州区郭家镇村镇建设服务中心一般公共预算基本支出预算表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表7、重庆市开州区郭家镇村镇建设服务中心一般公共预算“三公”经费支出预算表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表8、重庆市开州区郭家镇村镇建设服务中心政府性基金预算支出预算表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表9、重庆市开州区郭家镇村镇建设服务中心国有资本经营预算支出预算表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表10、重庆市开州区郭家镇村镇建设服务中心项目支出表</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pStyle w:val="5"/>
        <w:rPr>
          <w:rFonts w:hint="default" w:ascii="Times New Roman" w:hAnsi="Times New Roman" w:cs="Times New Roman"/>
          <w:highlight w:val="none"/>
        </w:rPr>
      </w:pPr>
    </w:p>
    <w:p>
      <w:pPr>
        <w:rPr>
          <w:rFonts w:hint="default" w:ascii="Times New Roman" w:hAnsi="Times New Roman" w:cs="Times New Roman"/>
          <w:highlight w:val="none"/>
        </w:rPr>
      </w:pPr>
    </w:p>
    <w:p>
      <w:pPr>
        <w:pStyle w:val="5"/>
        <w:rPr>
          <w:rFonts w:hint="default" w:ascii="Times New Roman" w:hAnsi="Times New Roman" w:cs="Times New Roman"/>
          <w:highlight w:val="none"/>
        </w:rPr>
      </w:pPr>
    </w:p>
    <w:p>
      <w:pPr>
        <w:rPr>
          <w:rFonts w:hint="default" w:ascii="Times New Roman" w:hAnsi="Times New Roman" w:cs="Times New Roman"/>
          <w:highlight w:val="none"/>
        </w:rPr>
      </w:pPr>
    </w:p>
    <w:p>
      <w:pPr>
        <w:pStyle w:val="5"/>
        <w:rPr>
          <w:rFonts w:hint="default" w:ascii="Times New Roman" w:hAnsi="Times New Roman" w:cs="Times New Roman"/>
          <w:highlight w:val="none"/>
        </w:rPr>
      </w:pPr>
    </w:p>
    <w:p>
      <w:pPr>
        <w:rPr>
          <w:rFonts w:hint="default" w:ascii="Times New Roman" w:hAnsi="Times New Roman" w:cs="Times New Roman"/>
          <w:highlight w:val="none"/>
        </w:rPr>
      </w:pPr>
    </w:p>
    <w:p>
      <w:pPr>
        <w:pStyle w:val="5"/>
        <w:rPr>
          <w:rFonts w:hint="default" w:ascii="Times New Roman" w:hAnsi="Times New Roman" w:cs="Times New Roman"/>
          <w:highlight w:val="none"/>
        </w:rPr>
      </w:pPr>
    </w:p>
    <w:p>
      <w:pPr>
        <w:rPr>
          <w:rFonts w:hint="default" w:ascii="Times New Roman" w:hAnsi="Times New Roman" w:cs="Times New Roman"/>
          <w:highlight w:val="none"/>
        </w:rPr>
      </w:pPr>
    </w:p>
    <w:p>
      <w:pPr>
        <w:pStyle w:val="5"/>
        <w:rPr>
          <w:rFonts w:hint="default" w:ascii="Times New Roman" w:hAnsi="Times New Roman" w:cs="Times New Roman"/>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预算情况说明</w:t>
      </w:r>
    </w:p>
    <w:p>
      <w:pPr>
        <w:spacing w:line="600" w:lineRule="exact"/>
        <w:ind w:firstLine="880" w:firstLineChars="200"/>
        <w:jc w:val="center"/>
        <w:rPr>
          <w:rFonts w:hint="default" w:ascii="Times New Roman" w:hAnsi="Times New Roman" w:eastAsia="华文中宋" w:cs="Times New Roman"/>
          <w:sz w:val="44"/>
          <w:szCs w:val="44"/>
          <w:highlight w:val="none"/>
        </w:rPr>
      </w:pP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spacing w:line="600" w:lineRule="exact"/>
        <w:ind w:firstLine="640" w:firstLineChars="200"/>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对应承接经济发展办公室辅助性、事务性工作。负责村镇规划建设服务工作，负责集镇基础设施、公共设施的建设维护和管理；负责集镇市容市貌（含村容村貌）、园林绿化、环境卫生、污染监测防治、交通建设和道路养护等领域的事务性工作；负责地质灾害防治、农房安全、建筑质量监督管理等事务性工作；参与辖区内公共设施、公益事业用地和农村村民住宅用地的规划审核，参与开展土地开发利用、土地征收等工作。</w:t>
      </w:r>
    </w:p>
    <w:p>
      <w:pPr>
        <w:pStyle w:val="24"/>
        <w:tabs>
          <w:tab w:val="center" w:pos="4153"/>
          <w:tab w:val="left" w:pos="7275"/>
        </w:tabs>
        <w:spacing w:line="600" w:lineRule="exact"/>
        <w:ind w:left="640" w:firstLine="0" w:firstLineChars="0"/>
        <w:jc w:val="left"/>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highlight w:val="none"/>
        </w:rPr>
      </w:pPr>
      <w:r>
        <w:rPr>
          <w:rFonts w:hint="eastAsia" w:ascii="Times New Roman" w:hAnsi="Times New Roman" w:eastAsia="方正仿宋_GBK" w:cs="Times New Roman"/>
          <w:sz w:val="32"/>
          <w:szCs w:val="32"/>
          <w:highlight w:val="none"/>
          <w:lang w:eastAsia="zh-CN"/>
        </w:rPr>
        <w:t>从预算单位构成看，</w:t>
      </w:r>
      <w:r>
        <w:rPr>
          <w:rFonts w:hint="default" w:ascii="Times New Roman" w:hAnsi="Times New Roman" w:eastAsia="方正仿宋_GBK" w:cs="Times New Roman"/>
          <w:sz w:val="32"/>
          <w:szCs w:val="32"/>
          <w:highlight w:val="none"/>
        </w:rPr>
        <w:t>重庆市开州区郭家镇村镇建设服务中心</w:t>
      </w:r>
      <w:r>
        <w:rPr>
          <w:rFonts w:hint="default" w:ascii="Times New Roman" w:hAnsi="Times New Roman" w:eastAsia="方正仿宋_GBK" w:cs="Times New Roman"/>
          <w:sz w:val="32"/>
          <w:highlight w:val="none"/>
        </w:rPr>
        <w:t>属</w:t>
      </w:r>
      <w:r>
        <w:rPr>
          <w:rFonts w:hint="eastAsia" w:ascii="Times New Roman" w:hAnsi="Times New Roman" w:eastAsia="方正仿宋_GBK" w:cs="Times New Roman"/>
          <w:sz w:val="32"/>
          <w:highlight w:val="none"/>
          <w:lang w:eastAsia="zh-CN"/>
        </w:rPr>
        <w:t>于</w:t>
      </w:r>
      <w:r>
        <w:rPr>
          <w:rFonts w:hint="default" w:ascii="Times New Roman" w:hAnsi="Times New Roman" w:eastAsia="方正仿宋_GBK" w:cs="Times New Roman"/>
          <w:sz w:val="32"/>
          <w:highlight w:val="none"/>
        </w:rPr>
        <w:t>二级预算单位</w:t>
      </w:r>
      <w:r>
        <w:rPr>
          <w:rFonts w:hint="eastAsia" w:ascii="Times New Roman" w:hAnsi="Times New Roman" w:eastAsia="方正仿宋_GBK" w:cs="Times New Roman"/>
          <w:sz w:val="32"/>
          <w:highlight w:val="none"/>
          <w:lang w:eastAsia="zh-CN"/>
        </w:rPr>
        <w:t>，主管部门为</w:t>
      </w:r>
      <w:r>
        <w:rPr>
          <w:rFonts w:hint="default" w:ascii="Times New Roman" w:hAnsi="Times New Roman" w:eastAsia="方正仿宋_GBK" w:cs="Times New Roman"/>
          <w:sz w:val="32"/>
          <w:szCs w:val="32"/>
          <w:highlight w:val="none"/>
        </w:rPr>
        <w:t>重庆市开州区</w:t>
      </w:r>
      <w:r>
        <w:rPr>
          <w:rFonts w:hint="eastAsia" w:ascii="Times New Roman" w:hAnsi="Times New Roman" w:eastAsia="方正仿宋_GBK" w:cs="Times New Roman"/>
          <w:sz w:val="32"/>
          <w:szCs w:val="32"/>
          <w:highlight w:val="none"/>
          <w:lang w:eastAsia="zh-CN"/>
        </w:rPr>
        <w:t>郭家</w:t>
      </w:r>
      <w:r>
        <w:rPr>
          <w:rFonts w:hint="default" w:ascii="Times New Roman" w:hAnsi="Times New Roman" w:eastAsia="方正仿宋_GBK" w:cs="Times New Roman"/>
          <w:sz w:val="32"/>
          <w:szCs w:val="32"/>
          <w:highlight w:val="none"/>
        </w:rPr>
        <w:t>镇</w:t>
      </w:r>
      <w:r>
        <w:rPr>
          <w:rFonts w:hint="eastAsia" w:ascii="Times New Roman" w:hAnsi="Times New Roman" w:eastAsia="方正仿宋_GBK" w:cs="Times New Roman"/>
          <w:sz w:val="32"/>
          <w:szCs w:val="32"/>
          <w:highlight w:val="none"/>
          <w:lang w:eastAsia="zh-CN"/>
        </w:rPr>
        <w:t>人民政府</w:t>
      </w:r>
      <w:r>
        <w:rPr>
          <w:rFonts w:hint="default" w:ascii="Times New Roman" w:hAnsi="Times New Roman" w:eastAsia="方正仿宋_GBK" w:cs="Times New Roman"/>
          <w:sz w:val="32"/>
          <w:highlight w:val="none"/>
        </w:rPr>
        <w:t>。</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收支总体情况</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257.56</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257.56</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eastAsia="zh-CN"/>
        </w:rPr>
        <w:t>部门</w:t>
      </w:r>
      <w:r>
        <w:rPr>
          <w:rFonts w:hint="default" w:ascii="Times New Roman" w:hAnsi="Times New Roman" w:eastAsia="方正仿宋_GBK" w:cs="Times New Roman"/>
          <w:sz w:val="32"/>
          <w:highlight w:val="none"/>
        </w:rPr>
        <w:t>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w:t>
      </w:r>
      <w:r>
        <w:rPr>
          <w:rFonts w:hint="eastAsia" w:ascii="Times New Roman" w:hAnsi="Times New Roman" w:eastAsia="方正仿宋_GBK" w:cs="Times New Roman"/>
          <w:sz w:val="32"/>
          <w:highlight w:val="none"/>
          <w:lang w:eastAsia="zh-CN"/>
        </w:rPr>
        <w:t>部门</w:t>
      </w:r>
      <w:r>
        <w:rPr>
          <w:rFonts w:hint="default" w:ascii="Times New Roman" w:hAnsi="Times New Roman" w:eastAsia="方正仿宋_GBK" w:cs="Times New Roman"/>
          <w:sz w:val="32"/>
          <w:highlight w:val="none"/>
        </w:rPr>
        <w:t>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w:t>
      </w:r>
    </w:p>
    <w:p>
      <w:pPr>
        <w:spacing w:line="600" w:lineRule="exact"/>
        <w:ind w:firstLine="640" w:firstLineChars="200"/>
        <w:rPr>
          <w:rFonts w:hint="eastAsia" w:ascii="Times New Roman" w:hAnsi="Times New Roman" w:eastAsia="方正仿宋_GBK" w:cs="Times New Roman"/>
          <w:sz w:val="32"/>
          <w:highlight w:val="none"/>
          <w:lang w:val="en-US" w:eastAsia="zh-CN"/>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257.56</w:t>
      </w:r>
      <w:r>
        <w:rPr>
          <w:rFonts w:hint="default" w:ascii="Times New Roman" w:hAnsi="Times New Roman" w:eastAsia="方正仿宋_GBK" w:cs="Times New Roman"/>
          <w:sz w:val="32"/>
          <w:highlight w:val="none"/>
        </w:rPr>
        <w:t>万元，其中：社会保障和就业支出预算</w:t>
      </w:r>
      <w:r>
        <w:rPr>
          <w:rFonts w:hint="eastAsia" w:ascii="Times New Roman" w:hAnsi="Times New Roman" w:eastAsia="方正仿宋_GBK" w:cs="Times New Roman"/>
          <w:sz w:val="32"/>
          <w:highlight w:val="none"/>
          <w:lang w:val="en-US" w:eastAsia="zh-CN"/>
        </w:rPr>
        <w:t>39.91</w:t>
      </w:r>
      <w:r>
        <w:rPr>
          <w:rFonts w:hint="default" w:ascii="Times New Roman" w:hAnsi="Times New Roman" w:eastAsia="方正仿宋_GBK" w:cs="Times New Roman"/>
          <w:sz w:val="32"/>
          <w:highlight w:val="none"/>
        </w:rPr>
        <w:t>万元，卫生健康支出预算</w:t>
      </w:r>
      <w:r>
        <w:rPr>
          <w:rFonts w:hint="eastAsia" w:ascii="Times New Roman" w:hAnsi="Times New Roman" w:eastAsia="方正仿宋_GBK" w:cs="Times New Roman"/>
          <w:sz w:val="32"/>
          <w:highlight w:val="none"/>
          <w:lang w:val="en-US" w:eastAsia="zh-CN"/>
        </w:rPr>
        <w:t>12.77</w:t>
      </w:r>
      <w:r>
        <w:rPr>
          <w:rFonts w:hint="default" w:ascii="Times New Roman" w:hAnsi="Times New Roman" w:eastAsia="方正仿宋_GBK" w:cs="Times New Roman"/>
          <w:sz w:val="32"/>
          <w:highlight w:val="none"/>
        </w:rPr>
        <w:t>万元，城乡社区支出预算</w:t>
      </w:r>
      <w:r>
        <w:rPr>
          <w:rFonts w:hint="eastAsia" w:ascii="Times New Roman" w:hAnsi="Times New Roman" w:eastAsia="方正仿宋_GBK" w:cs="Times New Roman"/>
          <w:sz w:val="32"/>
          <w:highlight w:val="none"/>
          <w:lang w:val="en-US" w:eastAsia="zh-CN"/>
        </w:rPr>
        <w:t>192.53</w:t>
      </w:r>
      <w:r>
        <w:rPr>
          <w:rFonts w:hint="default" w:ascii="Times New Roman" w:hAnsi="Times New Roman" w:eastAsia="方正仿宋_GBK" w:cs="Times New Roman"/>
          <w:sz w:val="32"/>
          <w:highlight w:val="none"/>
        </w:rPr>
        <w:t>万元，住房保障支出预算</w:t>
      </w:r>
      <w:r>
        <w:rPr>
          <w:rFonts w:hint="eastAsia" w:ascii="Times New Roman" w:hAnsi="Times New Roman" w:eastAsia="方正仿宋_GBK" w:cs="Times New Roman"/>
          <w:sz w:val="32"/>
          <w:highlight w:val="none"/>
          <w:lang w:val="en-US" w:eastAsia="zh-CN"/>
        </w:rPr>
        <w:t>12.36</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eastAsia="zh-CN"/>
        </w:rPr>
        <w:t>部门</w:t>
      </w:r>
      <w:r>
        <w:rPr>
          <w:rFonts w:hint="default" w:ascii="Times New Roman" w:hAnsi="Times New Roman" w:eastAsia="方正仿宋_GBK" w:cs="Times New Roman"/>
          <w:sz w:val="32"/>
          <w:highlight w:val="none"/>
        </w:rPr>
        <w:t>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w:t>
      </w:r>
      <w:r>
        <w:rPr>
          <w:rFonts w:hint="eastAsia" w:ascii="Times New Roman" w:hAnsi="Times New Roman" w:eastAsia="方正仿宋_GBK" w:cs="Times New Roman"/>
          <w:sz w:val="32"/>
          <w:highlight w:val="none"/>
          <w:lang w:eastAsia="zh-CN"/>
        </w:rPr>
        <w:t>部门</w:t>
      </w:r>
      <w:r>
        <w:rPr>
          <w:rFonts w:hint="default" w:ascii="Times New Roman" w:hAnsi="Times New Roman" w:eastAsia="方正仿宋_GBK" w:cs="Times New Roman"/>
          <w:sz w:val="32"/>
          <w:highlight w:val="none"/>
        </w:rPr>
        <w:t>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不能作对比。由于四舍五入因素，部分分项加和与总计可能略有差异，下同</w:t>
      </w:r>
      <w:r>
        <w:rPr>
          <w:rFonts w:hint="eastAsia" w:ascii="Times New Roman" w:hAnsi="Times New Roman" w:eastAsia="方正仿宋_GBK" w:cs="Times New Roman"/>
          <w:sz w:val="32"/>
          <w:highlight w:val="none"/>
          <w:lang w:eastAsia="zh-CN"/>
        </w:rPr>
        <w:t>。</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预算情况说明</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257.56</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257.56</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eastAsia="zh-CN"/>
        </w:rPr>
        <w:t>部门</w:t>
      </w:r>
      <w:r>
        <w:rPr>
          <w:rFonts w:hint="default" w:ascii="Times New Roman" w:hAnsi="Times New Roman" w:eastAsia="方正仿宋_GBK" w:cs="Times New Roman"/>
          <w:sz w:val="32"/>
          <w:highlight w:val="none"/>
        </w:rPr>
        <w:t>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w:t>
      </w:r>
      <w:r>
        <w:rPr>
          <w:rFonts w:hint="eastAsia" w:ascii="Times New Roman" w:hAnsi="Times New Roman" w:eastAsia="方正仿宋_GBK" w:cs="Times New Roman"/>
          <w:sz w:val="32"/>
          <w:highlight w:val="none"/>
          <w:lang w:eastAsia="zh-CN"/>
        </w:rPr>
        <w:t>部门</w:t>
      </w:r>
      <w:r>
        <w:rPr>
          <w:rFonts w:hint="default" w:ascii="Times New Roman" w:hAnsi="Times New Roman" w:eastAsia="方正仿宋_GBK" w:cs="Times New Roman"/>
          <w:sz w:val="32"/>
          <w:highlight w:val="none"/>
        </w:rPr>
        <w:t>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不能作对比。其中：基本支出</w:t>
      </w:r>
      <w:r>
        <w:rPr>
          <w:rFonts w:hint="eastAsia" w:ascii="Times New Roman" w:hAnsi="Times New Roman" w:eastAsia="方正仿宋_GBK" w:cs="Times New Roman"/>
          <w:sz w:val="32"/>
          <w:highlight w:val="none"/>
          <w:lang w:val="en-US" w:eastAsia="zh-CN"/>
        </w:rPr>
        <w:t>257.56</w:t>
      </w:r>
      <w:r>
        <w:rPr>
          <w:rFonts w:hint="default" w:ascii="Times New Roman" w:hAnsi="Times New Roman" w:eastAsia="方正仿宋_GBK" w:cs="Times New Roman"/>
          <w:sz w:val="32"/>
          <w:highlight w:val="none"/>
        </w:rPr>
        <w:t>万元，主要用于保障在职人员工资福利及社会保险缴费</w:t>
      </w:r>
      <w:r>
        <w:rPr>
          <w:rFonts w:eastAsia="方正仿宋_GBK"/>
          <w:sz w:val="32"/>
          <w:highlight w:val="none"/>
        </w:rPr>
        <w:t>，退休人员补助</w:t>
      </w:r>
      <w:r>
        <w:rPr>
          <w:rFonts w:hint="default" w:ascii="Times New Roman" w:hAnsi="Times New Roman" w:eastAsia="方正仿宋_GBK" w:cs="Times New Roman"/>
          <w:sz w:val="32"/>
          <w:highlight w:val="none"/>
        </w:rPr>
        <w:t>等，保障</w:t>
      </w:r>
      <w:r>
        <w:rPr>
          <w:rFonts w:hint="eastAsia"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spacing w:line="600" w:lineRule="exact"/>
        <w:ind w:firstLine="640" w:firstLineChars="200"/>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本单位</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spacing w:line="600" w:lineRule="exact"/>
        <w:ind w:firstLine="6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eastAsia="zh-CN"/>
        </w:rPr>
        <w:t>部门</w:t>
      </w:r>
      <w:r>
        <w:rPr>
          <w:rFonts w:hint="default" w:ascii="Times New Roman" w:hAnsi="Times New Roman" w:eastAsia="方正仿宋_GBK" w:cs="Times New Roman"/>
          <w:sz w:val="32"/>
          <w:highlight w:val="none"/>
        </w:rPr>
        <w:t>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w:t>
      </w:r>
      <w:r>
        <w:rPr>
          <w:rFonts w:hint="eastAsia" w:ascii="Times New Roman" w:hAnsi="Times New Roman" w:eastAsia="方正仿宋_GBK" w:cs="Times New Roman"/>
          <w:sz w:val="32"/>
          <w:highlight w:val="none"/>
          <w:lang w:eastAsia="zh-CN"/>
        </w:rPr>
        <w:t>部门</w:t>
      </w:r>
      <w:r>
        <w:rPr>
          <w:rFonts w:hint="default" w:ascii="Times New Roman" w:hAnsi="Times New Roman" w:eastAsia="方正仿宋_GBK" w:cs="Times New Roman"/>
          <w:sz w:val="32"/>
          <w:highlight w:val="none"/>
        </w:rPr>
        <w:t>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b/>
          <w:sz w:val="32"/>
          <w:highlight w:val="none"/>
        </w:rPr>
        <w:t>机关运行经费。</w:t>
      </w:r>
      <w:r>
        <w:rPr>
          <w:rFonts w:hint="default" w:ascii="Times New Roman" w:hAnsi="Times New Roman" w:eastAsia="方正仿宋_GBK" w:cs="Times New Roman"/>
          <w:sz w:val="32"/>
          <w:highlight w:val="none"/>
        </w:rPr>
        <w:t>我单位不在机关运行经费统计范围之内。</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r>
        <w:rPr>
          <w:rFonts w:hint="eastAsia" w:ascii="Times New Roman" w:hAnsi="Times New Roman" w:eastAsia="方正仿宋_GBK" w:cs="Times New Roman"/>
          <w:color w:val="000000"/>
          <w:sz w:val="32"/>
          <w:highlight w:val="none"/>
          <w:lang w:eastAsia="zh-CN"/>
        </w:rPr>
        <w:t>，不涉及绩效目标管理</w:t>
      </w:r>
      <w:r>
        <w:rPr>
          <w:rFonts w:hint="default" w:ascii="Times New Roman" w:hAnsi="Times New Roman" w:eastAsia="方正仿宋_GBK" w:cs="Times New Roman"/>
          <w:color w:val="000000"/>
          <w:sz w:val="32"/>
          <w:highlight w:val="none"/>
        </w:rPr>
        <w:t>。</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eastAsia="zh-CN"/>
        </w:rPr>
        <w:t>我</w:t>
      </w:r>
      <w:r>
        <w:rPr>
          <w:rFonts w:hint="default" w:ascii="Times New Roman" w:hAnsi="Times New Roman" w:eastAsia="方正仿宋_GBK" w:cs="Times New Roman"/>
          <w:color w:val="000000"/>
          <w:sz w:val="32"/>
          <w:highlight w:val="none"/>
        </w:rPr>
        <w:t>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ind w:firstLine="640" w:firstLineChars="20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取得的财政拨款，包括一般公共预算财政拨款和政府性基金预算财政拨款。</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ind w:firstLine="640" w:firstLineChars="200"/>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预算公开报表（详见附表重庆市开州区郭家镇村镇建设服务中心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预算公开联系人：</w:t>
      </w:r>
      <w:r>
        <w:rPr>
          <w:rFonts w:hint="eastAsia" w:ascii="Times New Roman" w:hAnsi="Times New Roman" w:eastAsia="方正仿宋_GBK" w:cs="Times New Roman"/>
          <w:sz w:val="32"/>
          <w:szCs w:val="32"/>
          <w:highlight w:val="none"/>
          <w:lang w:eastAsia="zh-CN"/>
        </w:rPr>
        <w:t>谭丽娟</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52350616</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cs="Times New Roman"/>
          <w:sz w:val="32"/>
          <w:szCs w:val="32"/>
          <w:highlight w:val="none"/>
          <w:lang w:eastAsia="zh-CN"/>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重庆市开州区</w:t>
      </w:r>
      <w:r>
        <w:rPr>
          <w:rFonts w:hint="eastAsia" w:cs="Times New Roman"/>
          <w:sz w:val="32"/>
          <w:szCs w:val="32"/>
          <w:highlight w:val="none"/>
          <w:lang w:eastAsia="zh-CN"/>
        </w:rPr>
        <w:t>郭家镇人民政府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94" w:lineRule="exact"/>
        <w:ind w:left="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94" w:lineRule="exact"/>
        <w:ind w:left="0"/>
        <w:textAlignment w:val="auto"/>
        <w:rPr>
          <w:rFonts w:hint="default"/>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4" w:lineRule="exact"/>
        <w:ind w:left="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94" w:lineRule="exact"/>
        <w:ind w:left="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94" w:lineRule="exact"/>
        <w:ind w:left="0"/>
        <w:textAlignment w:val="auto"/>
        <w:rPr>
          <w:rFonts w:hint="default"/>
        </w:rPr>
      </w:pPr>
    </w:p>
    <w:p>
      <w:pPr>
        <w:pStyle w:val="5"/>
        <w:rPr>
          <w:rFonts w:hint="default"/>
        </w:rPr>
        <w:sectPr>
          <w:headerReference r:id="rId3" w:type="default"/>
          <w:footerReference r:id="rId4" w:type="default"/>
          <w:pgSz w:w="11906" w:h="16838"/>
          <w:pgMar w:top="1984" w:right="1446" w:bottom="1644" w:left="1446" w:header="851" w:footer="992" w:gutter="0"/>
          <w:cols w:space="0" w:num="1"/>
          <w:rtlGutter w:val="0"/>
          <w:docGrid w:type="lines" w:linePitch="312" w:charSpace="0"/>
        </w:sect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pStyle w:val="5"/>
        <w:rPr>
          <w:rFonts w:hint="default"/>
        </w:rPr>
      </w:pPr>
    </w:p>
    <w:p>
      <w:pPr>
        <w:rPr>
          <w:rFonts w:hint="default"/>
        </w:rPr>
      </w:pPr>
    </w:p>
    <w:p>
      <w:pPr>
        <w:rPr>
          <w:rFonts w:hint="default"/>
        </w:rPr>
      </w:pPr>
    </w:p>
    <w:p>
      <w:pPr>
        <w:pStyle w:val="8"/>
        <w:rPr>
          <w:rFonts w:hint="default"/>
        </w:rPr>
      </w:pPr>
    </w:p>
    <w:p>
      <w:pPr>
        <w:keepNext w:val="0"/>
        <w:keepLines w:val="0"/>
        <w:pageBreakBefore w:val="0"/>
        <w:kinsoku/>
        <w:wordWrap/>
        <w:overflowPunct/>
        <w:topLinePunct w:val="0"/>
        <w:autoSpaceDE/>
        <w:autoSpaceDN/>
        <w:bidi w:val="0"/>
        <w:adjustRightInd/>
        <w:snapToGrid/>
        <w:spacing w:line="600" w:lineRule="exact"/>
        <w:ind w:firstLine="280" w:firstLineChars="100"/>
        <w:textAlignment w:val="auto"/>
        <w:rPr>
          <w:rFonts w:hint="default" w:ascii="Times New Roman" w:hAnsi="Times New Roman" w:eastAsia="方正黑体_GBK" w:cs="Times New Roman"/>
          <w:sz w:val="32"/>
          <w:szCs w:val="32"/>
          <w:lang w:val="en-US" w:eastAsia="zh-CN"/>
        </w:rPr>
      </w:pPr>
      <w:r>
        <w:rPr>
          <w:rFonts w:hint="default" w:ascii="Times New Roman" w:hAnsi="Times New Roman"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375920</wp:posOffset>
                </wp:positionV>
                <wp:extent cx="570420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70420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5pt;margin-top:29.6pt;height:0.05pt;width:449.15pt;z-index:251661312;mso-width-relative:page;mso-height-relative:page;" filled="f" stroked="t" coordsize="21600,21600" o:gfxdata="UEsDBAoAAAAAAIdO4kAAAAAAAAAAAAAAAAAEAAAAZHJzL1BLAwQUAAAACACHTuJAaoZc0NcAAAAI&#10;AQAADwAAAGRycy9kb3ducmV2LnhtbE2PvU7DQBCEeyTe4bRINFFyjq2gxPE5BeCOhgCi3fgW24pv&#10;z/FdfuDp2VRQ7sxo9ptic3G9OtEYOs8G5rMEFHHtbceNgfe3aroEFSKyxd4zGfimAJvy9qbA3Poz&#10;v9JpGxslJRxyNNDGOORah7olh2HmB2LxvvzoMMo5NtqOeJZy1+s0SR60w47lQ4sDPbZU77dHZyBU&#10;H3Sofib1JPnMGk/p4enlGY25v5sna1CRLvEvDFd8QYdSmHb+yDao3sA0yyRpYLFKQYm/XC1k2+4q&#10;ZKDLQv8fUP4CUEsDBBQAAAAIAIdO4kCEc2fa9gEAAOYDAAAOAAAAZHJzL2Uyb0RvYy54bWytU82O&#10;0zAQviPxDpbvNGlLF4ia7mHLckGwEvAAU8dJLPlPHrdpX4IXQOIGJ47c921YHoOxU7qwXHogB2fs&#10;+fx5vm/s5eXeaLaTAZWzNZ9OSs6kFa5Rtqv5h/fXT55zhhFsA9pZWfODRH65evxoOfhKzlzvdCMD&#10;IxKL1eBr3sfoq6JA0UsDOHFeWkq2LhiINA1d0QQYiN3oYlaWF8XgQuODExKRVtdjkh8ZwzmErm2V&#10;kGsntkbaOLIGqSGSJOyVR77K1batFPFt26KMTNeclMY80iEUb9JYrJZQdQF8r8SxBDinhAeaDChL&#10;h56o1hCBbYP6h8ooERy6Nk6EM8UoJDtCKqblA2/e9eBl1kJWoz+Zjv+PVrzZ3QSmmprPObNgqOF3&#10;n77/+Pjl5+1nGu++fWXzZNLgsSLslb0Jxxn6m5AU79tg0p+0sH029nAyVu4jE7S4eFY+nZULzgTl&#10;LuaLxFjcb/UB4yvpDEtBzbWySTVUsHuNcYT+hqRlbdlQ8xeLWSIEuoIttZ5C40kG2i7vRadVc620&#10;TjswdJsrHdgO0jXI37GEv2DpkDVgP+JyKsGg6iU0L23D4sGTQZbeBU8lGNlwpiU9oxRlZASlz0GS&#10;em3JhOTr6GSKNq45UDu2PqiuJyemucqUofZny45XNd2vP+eZ6f55r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oZc0NcAAAAIAQAADwAAAAAAAAABACAAAAAiAAAAZHJzL2Rvd25yZXYueG1sUEsB&#10;AhQAFAAAAAgAh07iQIRzZ9r2AQAA5gMAAA4AAAAAAAAAAQAgAAAAJ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71120</wp:posOffset>
                </wp:positionV>
                <wp:extent cx="569404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9404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9pt;margin-top:5.6pt;height:0.05pt;width:448.35pt;z-index:251660288;mso-width-relative:page;mso-height-relative:page;" filled="f" stroked="t" coordsize="21600,21600" o:gfxdata="UEsDBAoAAAAAAIdO4kAAAAAAAAAAAAAAAAAEAAAAZHJzL1BLAwQUAAAACACHTuJAru/GHdYAAAAI&#10;AQAADwAAAGRycy9kb3ducmV2LnhtbE2PvU7DQBCEeyTe4bRINFFyZwehxPE5BeCOhgREu7E3toVv&#10;z/FdfuDp2VRQzsxq5tt8fXG9OtEYOs8WkpkBRVz5uuPGwvu2nC5AhYhcY++ZLHxTgHVxe5NjVvsz&#10;v9FpExslJRwytNDGOGRah6olh2HmB2LJ9n50GEWOja5HPEu563VqzKN22LEstDjQU0vV1+boLITy&#10;gw7lz6SamM954yk9PL++oLX3d4lZgYp0iX/HcMUXdCiEaeePXAfVW5gmQh7FT1JQki+WD0tQu6sx&#10;B13k+v8DxS9QSwMEFAAAAAgAh07iQHBW52n2AQAA5gMAAA4AAABkcnMvZTJvRG9jLnhtbK1TS44T&#10;MRDdI3EHy3vSSZhETCudWUwYNggiwRyg4nZ3W/JPLiedXIILILGDFUv23GaGY0zZHTIwbLKgF+6y&#10;6/m53it7cbU3mu1kQOVsxSejMWfSClcr21b89uPNi1ecYQRbg3ZWVvwgkV8tnz9b9L6UU9c5XcvA&#10;iMRi2fuKdzH6sihQdNIAjpyXlpKNCwYiTUNb1AF6Yje6mI7H86J3ofbBCYlIq6shyY+M4RxC1zRK&#10;yJUTWyNtHFiD1BBJEnbKI1/maptGivi+aVBGpitOSmMe6RCKN2kslgso2wC+U+JYApxTwhNNBpSl&#10;Q09UK4jAtkH9Q2WUCA5dE0fCmWIQkh0hFZPxE28+dOBl1kJWoz+Zjv+PVrzbrQNTdcWnnFkw1PD7&#10;zz/uPn399fMLjfffv7FpMqn3WBL22q7DcYZ+HZLifRNM+pMWts/GHk7Gyn1kghZn88uL8cWMM0G5&#10;+ctZYiwet/qA8Y10hqWg4lrZpBpK2L3FOEB/Q9Kytqyv+OVsmgiBrmBDrafQeJKBts170WlV3yit&#10;0w4M7eZaB7aDdA3ydyzhL1g6ZAXYDbicSjAoOwn1a1uzePBkkKV3wVMJRtacaUnPKEUZGUHpc5Ck&#10;XlsyIfk6OJmijasP1I6tD6rtyIlJrjJlqP3ZsuNVTffrz3lmenyey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u78Yd1gAAAAgBAAAPAAAAAAAAAAEAIAAAACIAAABkcnMvZG93bnJldi54bWxQSwEC&#10;FAAUAAAACACHTuJAcFbnafYBAADmAwAADgAAAAAAAAABACAAAAAlAQAAZHJzL2Uyb0RvYy54bWxQ&#10;SwUGAAAAAAYABgBZAQAAjQUAAAAA&#10;">
                <v:fill on="f" focussize="0,0"/>
                <v:stroke color="#000000" joinstyle="round"/>
                <v:imagedata o:title=""/>
                <o:lock v:ext="edit" aspectratio="f"/>
              </v:line>
            </w:pict>
          </mc:Fallback>
        </mc:AlternateContent>
      </w:r>
      <w:r>
        <w:rPr>
          <w:rFonts w:hint="default" w:ascii="Times New Roman" w:hAnsi="Times New Roman" w:cs="Times New Roman"/>
          <w:sz w:val="28"/>
          <w:szCs w:val="28"/>
          <w:lang w:eastAsia="zh-CN"/>
        </w:rPr>
        <w:t>重</w:t>
      </w:r>
      <w:r>
        <w:rPr>
          <w:rFonts w:hint="default" w:ascii="Times New Roman" w:hAnsi="Times New Roman" w:eastAsia="方正仿宋_GBK" w:cs="Times New Roman"/>
          <w:sz w:val="28"/>
          <w:szCs w:val="28"/>
        </w:rPr>
        <w:t>庆市开州区郭家镇</w:t>
      </w:r>
      <w:r>
        <w:rPr>
          <w:rFonts w:hint="eastAsia" w:cs="Times New Roman"/>
          <w:sz w:val="28"/>
          <w:szCs w:val="28"/>
          <w:lang w:eastAsia="zh-CN"/>
        </w:rPr>
        <w:t>基层治理综合指挥室</w:t>
      </w:r>
      <w:r>
        <w:rPr>
          <w:rFonts w:hint="default" w:ascii="Times New Roman" w:hAnsi="Times New Roman" w:eastAsia="方正仿宋_GBK"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202</w:t>
      </w:r>
      <w:r>
        <w:rPr>
          <w:rFonts w:hint="default" w:ascii="Times New Roman" w:hAnsi="Times New Roman" w:cs="Times New Roman"/>
          <w:sz w:val="28"/>
          <w:szCs w:val="28"/>
          <w:lang w:val="en-US" w:eastAsia="zh-CN"/>
        </w:rPr>
        <w:t>5</w:t>
      </w:r>
      <w:r>
        <w:rPr>
          <w:rFonts w:hint="default" w:ascii="Times New Roman" w:hAnsi="Times New Roman" w:eastAsia="方正仿宋_GBK" w:cs="Times New Roman"/>
          <w:sz w:val="28"/>
          <w:szCs w:val="28"/>
          <w:lang w:val="en-US" w:eastAsia="zh-CN"/>
        </w:rPr>
        <w:t>年</w:t>
      </w:r>
      <w:r>
        <w:rPr>
          <w:rFonts w:hint="eastAsia" w:cs="Times New Roman"/>
          <w:sz w:val="28"/>
          <w:szCs w:val="28"/>
          <w:lang w:val="en-US" w:eastAsia="zh-CN"/>
        </w:rPr>
        <w:t>3</w:t>
      </w:r>
      <w:r>
        <w:rPr>
          <w:rFonts w:hint="default" w:ascii="Times New Roman" w:hAnsi="Times New Roman" w:eastAsia="方正仿宋_GBK" w:cs="Times New Roman"/>
          <w:sz w:val="28"/>
          <w:szCs w:val="28"/>
          <w:lang w:val="en-US" w:eastAsia="zh-CN"/>
        </w:rPr>
        <w:t>月</w:t>
      </w:r>
      <w:r>
        <w:rPr>
          <w:rFonts w:hint="eastAsia" w:cs="Times New Roman"/>
          <w:sz w:val="28"/>
          <w:szCs w:val="28"/>
          <w:lang w:val="en-US" w:eastAsia="zh-CN"/>
        </w:rPr>
        <w:t>12</w:t>
      </w:r>
      <w:r>
        <w:rPr>
          <w:rFonts w:hint="default" w:ascii="Times New Roman" w:hAnsi="Times New Roman" w:eastAsia="方正仿宋_GBK" w:cs="Times New Roman"/>
          <w:sz w:val="28"/>
          <w:szCs w:val="28"/>
        </w:rPr>
        <w:t>日印</w:t>
      </w:r>
    </w:p>
    <w:sectPr>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4EA9E404-36D2-47C1-9163-336D62B5CB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embedRegular r:id="rId2" w:fontKey="{7CB4798E-C155-4B2E-AFB9-6B4039D6A282}"/>
  </w:font>
  <w:font w:name="方正小标宋_GBK">
    <w:panose1 w:val="03000509000000000000"/>
    <w:charset w:val="86"/>
    <w:family w:val="script"/>
    <w:pitch w:val="default"/>
    <w:sig w:usb0="00000001" w:usb1="080E0000" w:usb2="00000000" w:usb3="00000000" w:csb0="00040000" w:csb1="00000000"/>
    <w:embedRegular r:id="rId3" w:fontKey="{14EBCDD4-4816-4713-AB91-E1C1D81DA862}"/>
  </w:font>
  <w:font w:name="华文中宋">
    <w:panose1 w:val="02010600040101010101"/>
    <w:charset w:val="86"/>
    <w:family w:val="auto"/>
    <w:pitch w:val="default"/>
    <w:sig w:usb0="00000287" w:usb1="080F0000" w:usb2="00000000" w:usb3="00000000" w:csb0="0004009F" w:csb1="DFD70000"/>
    <w:embedRegular r:id="rId4" w:fontKey="{0E4EA08C-3E4E-4101-881A-644287B1968F}"/>
  </w:font>
  <w:font w:name="方正黑体_GBK">
    <w:panose1 w:val="03000509000000000000"/>
    <w:charset w:val="86"/>
    <w:family w:val="auto"/>
    <w:pitch w:val="default"/>
    <w:sig w:usb0="00000001" w:usb1="080E0000" w:usb2="00000000" w:usb3="00000000" w:csb0="00040000" w:csb1="00000000"/>
    <w:embedRegular r:id="rId5" w:fontKey="{9CBFDDBC-E202-4F4B-BA4D-8BB4982AA0FF}"/>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ind w:right="357"/>
      <w:rPr>
        <w:rStyle w:val="19"/>
        <w:rFonts w:ascii="宋体" w:hAnsi="宋体" w:eastAsia="宋体"/>
        <w:sz w:val="28"/>
        <w:szCs w:val="28"/>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9</w:t>
    </w:r>
    <w:r>
      <w:rPr>
        <w:rFonts w:ascii="宋体" w:hAnsi="宋体" w:eastAsia="宋体"/>
        <w:sz w:val="28"/>
        <w:szCs w:val="28"/>
      </w:rPr>
      <w:fldChar w:fldCharType="end"/>
    </w:r>
    <w:r>
      <w:rPr>
        <w:rStyle w:val="19"/>
        <w:rFonts w:hint="eastAsia" w:ascii="宋体" w:hAnsi="宋体" w:eastAsia="宋体"/>
        <w:sz w:val="28"/>
        <w:szCs w:val="28"/>
      </w:rPr>
      <w:t xml:space="preserve"> —</w:t>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BFEB39"/>
    <w:multiLevelType w:val="multilevel"/>
    <w:tmpl w:val="2EBFEB39"/>
    <w:lvl w:ilvl="0" w:tentative="0">
      <w:start w:val="1"/>
      <w:numFmt w:val="decimal"/>
      <w:lvlText w:val="%1"/>
      <w:lvlJc w:val="left"/>
      <w:pPr>
        <w:tabs>
          <w:tab w:val="left" w:pos="567"/>
        </w:tabs>
        <w:ind w:left="567" w:hanging="567"/>
      </w:pPr>
      <w:rPr>
        <w:rFonts w:hint="eastAsia"/>
      </w:rPr>
    </w:lvl>
    <w:lvl w:ilvl="1" w:tentative="0">
      <w:start w:val="1"/>
      <w:numFmt w:val="decimal"/>
      <w:lvlText w:val="%1.%2"/>
      <w:lvlJc w:val="left"/>
      <w:pPr>
        <w:tabs>
          <w:tab w:val="left" w:pos="680"/>
        </w:tabs>
        <w:ind w:left="680" w:hanging="680"/>
      </w:pPr>
      <w:rPr>
        <w:rFonts w:hint="default" w:ascii="Times New Roman" w:hAnsi="Times New Roman" w:cs="Times New Roman"/>
        <w:sz w:val="32"/>
        <w:szCs w:val="32"/>
      </w:rPr>
    </w:lvl>
    <w:lvl w:ilvl="2" w:tentative="0">
      <w:start w:val="1"/>
      <w:numFmt w:val="decimal"/>
      <w:pStyle w:val="3"/>
      <w:lvlText w:val="%1.%2.%3"/>
      <w:lvlJc w:val="left"/>
      <w:pPr>
        <w:tabs>
          <w:tab w:val="left" w:pos="1146"/>
        </w:tabs>
        <w:ind w:left="131" w:firstLine="573"/>
      </w:pPr>
      <w:rPr>
        <w:rFonts w:hint="default" w:ascii="Times New Roman" w:hAnsi="Times New Roman" w:cs="Times New Roman"/>
        <w:b/>
        <w:sz w:val="28"/>
        <w:szCs w:val="28"/>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 w:name="KSO_WPS_MARK_KEY" w:val="74fca126-e972-4d05-9e67-61ef31602852"/>
  </w:docVars>
  <w:rsids>
    <w:rsidRoot w:val="008F771E"/>
    <w:rsid w:val="001813AB"/>
    <w:rsid w:val="007E79DC"/>
    <w:rsid w:val="008F771E"/>
    <w:rsid w:val="00BB030E"/>
    <w:rsid w:val="00FC7A70"/>
    <w:rsid w:val="01280C0A"/>
    <w:rsid w:val="013B4F1F"/>
    <w:rsid w:val="036119A3"/>
    <w:rsid w:val="05E63D64"/>
    <w:rsid w:val="0E3D52E3"/>
    <w:rsid w:val="0F437618"/>
    <w:rsid w:val="10B93F78"/>
    <w:rsid w:val="11F01572"/>
    <w:rsid w:val="13E133B8"/>
    <w:rsid w:val="154573AC"/>
    <w:rsid w:val="1638488D"/>
    <w:rsid w:val="16FC1D96"/>
    <w:rsid w:val="176C3ADC"/>
    <w:rsid w:val="17AA03B7"/>
    <w:rsid w:val="182E10F4"/>
    <w:rsid w:val="19A177AB"/>
    <w:rsid w:val="1B1D4363"/>
    <w:rsid w:val="1B506338"/>
    <w:rsid w:val="1D0B76E3"/>
    <w:rsid w:val="1DB15DB0"/>
    <w:rsid w:val="1E400EDD"/>
    <w:rsid w:val="1EC62F0A"/>
    <w:rsid w:val="2165219D"/>
    <w:rsid w:val="22BB177B"/>
    <w:rsid w:val="23471954"/>
    <w:rsid w:val="23C474E2"/>
    <w:rsid w:val="260722D0"/>
    <w:rsid w:val="277E631D"/>
    <w:rsid w:val="29DC79AC"/>
    <w:rsid w:val="2AB67760"/>
    <w:rsid w:val="2AC11C58"/>
    <w:rsid w:val="2DDC6E0B"/>
    <w:rsid w:val="2FA71A3B"/>
    <w:rsid w:val="31931229"/>
    <w:rsid w:val="36B568B6"/>
    <w:rsid w:val="36D37278"/>
    <w:rsid w:val="376A48E9"/>
    <w:rsid w:val="38A649F2"/>
    <w:rsid w:val="39301960"/>
    <w:rsid w:val="396E1053"/>
    <w:rsid w:val="3ACE78EA"/>
    <w:rsid w:val="3D112A25"/>
    <w:rsid w:val="3D7519EA"/>
    <w:rsid w:val="3DF84B91"/>
    <w:rsid w:val="40084FCA"/>
    <w:rsid w:val="409A22F3"/>
    <w:rsid w:val="420C1409"/>
    <w:rsid w:val="440060F2"/>
    <w:rsid w:val="4498782D"/>
    <w:rsid w:val="45DD4BFA"/>
    <w:rsid w:val="46B04A59"/>
    <w:rsid w:val="49ED7D72"/>
    <w:rsid w:val="4B2769DB"/>
    <w:rsid w:val="4C9C7FC3"/>
    <w:rsid w:val="4D3B063E"/>
    <w:rsid w:val="4FB355BA"/>
    <w:rsid w:val="5299665C"/>
    <w:rsid w:val="531F46BF"/>
    <w:rsid w:val="544D18A7"/>
    <w:rsid w:val="54DC3354"/>
    <w:rsid w:val="564755D9"/>
    <w:rsid w:val="565D1425"/>
    <w:rsid w:val="58823D7B"/>
    <w:rsid w:val="59FB3565"/>
    <w:rsid w:val="5BEB45D0"/>
    <w:rsid w:val="5F9B22C9"/>
    <w:rsid w:val="60C04AE4"/>
    <w:rsid w:val="60FF4431"/>
    <w:rsid w:val="61332444"/>
    <w:rsid w:val="63283830"/>
    <w:rsid w:val="63535B9F"/>
    <w:rsid w:val="636A1EDC"/>
    <w:rsid w:val="63AD63E8"/>
    <w:rsid w:val="64360082"/>
    <w:rsid w:val="649C725E"/>
    <w:rsid w:val="65FC4D8E"/>
    <w:rsid w:val="66507267"/>
    <w:rsid w:val="67465743"/>
    <w:rsid w:val="67B41405"/>
    <w:rsid w:val="6AD51ACC"/>
    <w:rsid w:val="6BDC4305"/>
    <w:rsid w:val="71513CD3"/>
    <w:rsid w:val="71BC14A7"/>
    <w:rsid w:val="73CB617F"/>
    <w:rsid w:val="76143C38"/>
    <w:rsid w:val="761D11C0"/>
    <w:rsid w:val="766A0A04"/>
    <w:rsid w:val="77737259"/>
    <w:rsid w:val="792A268F"/>
    <w:rsid w:val="7E633152"/>
    <w:rsid w:val="7F7F33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2"/>
    <w:basedOn w:val="1"/>
    <w:next w:val="1"/>
    <w:qFormat/>
    <w:uiPriority w:val="0"/>
    <w:pPr>
      <w:spacing w:before="260" w:after="260" w:line="415" w:lineRule="auto"/>
      <w:outlineLvl w:val="1"/>
    </w:pPr>
    <w:rPr>
      <w:rFonts w:ascii="Arial" w:hAnsi="Arial" w:eastAsia="黑体"/>
      <w:sz w:val="32"/>
      <w:szCs w:val="32"/>
    </w:rPr>
  </w:style>
  <w:style w:type="paragraph" w:styleId="3">
    <w:name w:val="heading 3"/>
    <w:basedOn w:val="1"/>
    <w:next w:val="1"/>
    <w:qFormat/>
    <w:uiPriority w:val="0"/>
    <w:pPr>
      <w:keepNext/>
      <w:keepLines/>
      <w:numPr>
        <w:ilvl w:val="2"/>
        <w:numId w:val="1"/>
      </w:numPr>
      <w:outlineLvl w:val="2"/>
    </w:pPr>
    <w:rPr>
      <w:b/>
      <w:bCs/>
      <w:szCs w:val="32"/>
    </w:rPr>
  </w:style>
  <w:style w:type="paragraph" w:styleId="4">
    <w:name w:val="heading 4"/>
    <w:basedOn w:val="2"/>
    <w:next w:val="1"/>
    <w:qFormat/>
    <w:uiPriority w:val="9"/>
    <w:pPr>
      <w:spacing w:before="280" w:after="290" w:line="372" w:lineRule="auto"/>
      <w:outlineLvl w:val="3"/>
    </w:pPr>
    <w:rPr>
      <w:sz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567"/>
    </w:pPr>
    <w:rPr>
      <w:rFonts w:eastAsia="宋体"/>
      <w:sz w:val="21"/>
      <w:szCs w:val="24"/>
    </w:rPr>
  </w:style>
  <w:style w:type="paragraph" w:styleId="6">
    <w:name w:val="Body Text"/>
    <w:basedOn w:val="1"/>
    <w:next w:val="1"/>
    <w:qFormat/>
    <w:uiPriority w:val="0"/>
    <w:rPr>
      <w:rFonts w:eastAsia="仿宋_GB2312"/>
      <w:kern w:val="0"/>
      <w:sz w:val="32"/>
    </w:rPr>
  </w:style>
  <w:style w:type="paragraph" w:styleId="7">
    <w:name w:val="Body Text Indent"/>
    <w:basedOn w:val="1"/>
    <w:qFormat/>
    <w:uiPriority w:val="0"/>
    <w:pPr>
      <w:spacing w:line="620" w:lineRule="exact"/>
      <w:ind w:firstLine="632" w:firstLineChars="200"/>
    </w:pPr>
    <w:rPr>
      <w:rFonts w:ascii="方正仿宋_GBK"/>
      <w:szCs w:val="32"/>
    </w:rPr>
  </w:style>
  <w:style w:type="paragraph" w:styleId="8">
    <w:name w:val="Plain Text"/>
    <w:basedOn w:val="1"/>
    <w:qFormat/>
    <w:uiPriority w:val="99"/>
    <w:pPr>
      <w:spacing w:line="240" w:lineRule="auto"/>
    </w:pPr>
    <w:rPr>
      <w:rFonts w:ascii="宋体" w:eastAsia="宋体"/>
      <w:sz w:val="21"/>
      <w:szCs w:val="20"/>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next w:val="12"/>
    <w:qFormat/>
    <w:uiPriority w:val="0"/>
    <w:pPr>
      <w:tabs>
        <w:tab w:val="center" w:pos="4153"/>
        <w:tab w:val="right" w:pos="8306"/>
      </w:tabs>
      <w:snapToGrid w:val="0"/>
      <w:jc w:val="left"/>
    </w:pPr>
    <w:rPr>
      <w:sz w:val="18"/>
      <w:szCs w:val="18"/>
    </w:rPr>
  </w:style>
  <w:style w:type="paragraph" w:customStyle="1" w:styleId="12">
    <w:name w:val="索引 51"/>
    <w:basedOn w:val="1"/>
    <w:next w:val="1"/>
    <w:qFormat/>
    <w:uiPriority w:val="0"/>
    <w:pPr>
      <w:ind w:left="1680"/>
    </w:p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360"/>
        <w:tab w:val="left" w:pos="560"/>
        <w:tab w:val="right" w:leader="dot" w:pos="8820"/>
      </w:tabs>
    </w:pPr>
    <w:rPr>
      <w:b/>
      <w:bCs/>
      <w:szCs w:val="32"/>
    </w:rPr>
  </w:style>
  <w:style w:type="paragraph" w:styleId="15">
    <w:name w:val="table of figures"/>
    <w:basedOn w:val="1"/>
    <w:next w:val="1"/>
    <w:qFormat/>
    <w:uiPriority w:val="0"/>
    <w:rPr>
      <w:rFonts w:eastAsia="宋体"/>
      <w:sz w:val="24"/>
    </w:rPr>
  </w:style>
  <w:style w:type="paragraph" w:styleId="16">
    <w:name w:val="toc 2"/>
    <w:basedOn w:val="1"/>
    <w:next w:val="1"/>
    <w:qFormat/>
    <w:uiPriority w:val="39"/>
    <w:pPr>
      <w:tabs>
        <w:tab w:val="left" w:pos="1080"/>
        <w:tab w:val="left" w:pos="1260"/>
        <w:tab w:val="right" w:leader="dot" w:pos="8820"/>
      </w:tabs>
      <w:ind w:left="560"/>
    </w:pPr>
    <w:rPr>
      <w:rFonts w:eastAsia="宋体"/>
      <w:sz w:val="24"/>
      <w:szCs w:val="30"/>
    </w:rPr>
  </w:style>
  <w:style w:type="character" w:styleId="19">
    <w:name w:val="page number"/>
    <w:basedOn w:val="18"/>
    <w:qFormat/>
    <w:uiPriority w:val="0"/>
    <w:rPr>
      <w:rFonts w:ascii="Times New Roman" w:hAnsi="Times New Roman" w:eastAsia="宋体" w:cs="Times New Roman"/>
    </w:rPr>
  </w:style>
  <w:style w:type="paragraph" w:customStyle="1" w:styleId="20">
    <w:name w:val="Char1"/>
    <w:basedOn w:val="1"/>
    <w:qFormat/>
    <w:uiPriority w:val="0"/>
    <w:pPr>
      <w:widowControl/>
      <w:spacing w:after="160" w:line="240" w:lineRule="exact"/>
      <w:jc w:val="left"/>
    </w:pPr>
    <w:rPr>
      <w:rFonts w:ascii="Verdana" w:hAnsi="Verdana" w:eastAsia="仿宋_GB2312" w:cs="Verdana"/>
      <w:kern w:val="0"/>
      <w:sz w:val="24"/>
      <w:szCs w:val="32"/>
      <w:lang w:eastAsia="en-US"/>
    </w:rPr>
  </w:style>
  <w:style w:type="paragraph" w:customStyle="1" w:styleId="21">
    <w:name w:val="默认段落字体 Para Char Char Char Char Char Char Char Char Char Char"/>
    <w:basedOn w:val="1"/>
    <w:qFormat/>
    <w:uiPriority w:val="0"/>
    <w:rPr>
      <w:rFonts w:eastAsia="仿宋_GB2312"/>
      <w:sz w:val="30"/>
      <w:szCs w:val="30"/>
    </w:rPr>
  </w:style>
  <w:style w:type="paragraph" w:customStyle="1" w:styleId="22">
    <w:name w:val="表格内容"/>
    <w:basedOn w:val="1"/>
    <w:qFormat/>
    <w:uiPriority w:val="0"/>
    <w:pPr>
      <w:widowControl/>
      <w:spacing w:line="240" w:lineRule="auto"/>
      <w:jc w:val="center"/>
    </w:pPr>
    <w:rPr>
      <w:rFonts w:ascii="宋体" w:eastAsia="宋体"/>
      <w:kern w:val="0"/>
      <w:sz w:val="21"/>
    </w:rPr>
  </w:style>
  <w:style w:type="paragraph" w:customStyle="1" w:styleId="23">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styleId="2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3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2018</Words>
  <Characters>2180</Characters>
  <Lines>0</Lines>
  <Paragraphs>0</Paragraphs>
  <TotalTime>0</TotalTime>
  <ScaleCrop>false</ScaleCrop>
  <LinksUpToDate>false</LinksUpToDate>
  <CharactersWithSpaces>2230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冉浩田</cp:lastModifiedBy>
  <cp:lastPrinted>2024-09-05T08:55:00Z</cp:lastPrinted>
  <dcterms:modified xsi:type="dcterms:W3CDTF">2026-03-12T07:46:16Z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92A86E2DC3AA4FA2902545AEA6CA0E44_13</vt:lpwstr>
  </property>
  <property fmtid="{D5CDD505-2E9C-101B-9397-08002B2CF9AE}" pid="4" name="KSOTemplateDocerSaveRecord">
    <vt:lpwstr>eyJoZGlkIjoiZjcwNTAwZGU1YjdjNmZhNTc2ZWVmYTUwYWMxYmY0OWMiLCJ1c2VySWQiOiI0MzI2MDk3MjAifQ==</vt:lpwstr>
  </property>
</Properties>
</file>