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1" w:rightFromText="181" w:horzAnchor="margin" w:tblpXSpec="center" w:tblpYSpec="top"/>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jc w:val="center"/>
        </w:trPr>
        <w:tc>
          <w:tcPr>
            <w:tcW w:w="8833" w:type="dxa"/>
            <w:noWrap w:val="0"/>
            <w:vAlign w:val="top"/>
          </w:tcPr>
          <w:p>
            <w:pPr>
              <w:spacing w:line="600" w:lineRule="exact"/>
              <w:rPr>
                <w:rFonts w:hint="eastAsia" w:ascii="方正黑体_GBK" w:hAnsi="方正黑体_GBK" w:eastAsia="方正黑体_GBK" w:cs="方正黑体_GBK"/>
                <w:sz w:val="32"/>
                <w:szCs w:val="3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default" w:ascii="Times New Roman" w:hAnsi="Times New Roman" w:eastAsia="方正黑体_GBK" w:cs="Times New Roman"/>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833" w:type="dxa"/>
            <w:noWrap w:val="0"/>
            <w:vAlign w:val="center"/>
          </w:tcPr>
          <w:p>
            <w:pPr>
              <w:jc w:val="center"/>
              <w:rPr>
                <w:rFonts w:hint="default" w:ascii="Times New Roman" w:hAnsi="Times New Roman" w:eastAsia="方正小标宋简体" w:cs="Times New Roman"/>
                <w:color w:val="FF0000"/>
                <w:w w:val="8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3" w:hRule="exact"/>
          <w:jc w:val="center"/>
        </w:trPr>
        <w:tc>
          <w:tcPr>
            <w:tcW w:w="8833" w:type="dxa"/>
            <w:noWrap w:val="0"/>
            <w:vAlign w:val="center"/>
          </w:tcPr>
          <w:p>
            <w:pPr>
              <w:jc w:val="center"/>
              <w:rPr>
                <w:rFonts w:hint="default" w:ascii="Times New Roman" w:hAnsi="Times New Roman" w:eastAsia="方正小标宋_GBK" w:cs="Times New Roman"/>
                <w:b/>
                <w:color w:val="FF3300"/>
                <w:spacing w:val="-36"/>
                <w:w w:val="53"/>
                <w:sz w:val="128"/>
                <w:szCs w:val="128"/>
              </w:rPr>
            </w:pPr>
            <w:r>
              <w:rPr>
                <w:rFonts w:hint="default" w:ascii="Times New Roman" w:hAnsi="Times New Roman" w:eastAsia="方正小标宋_GBK" w:cs="Times New Roman"/>
                <w:b/>
                <w:color w:val="FF3300"/>
                <w:spacing w:val="-34"/>
                <w:w w:val="55"/>
                <w:sz w:val="128"/>
                <w:szCs w:val="128"/>
              </w:rPr>
              <w:t>重庆市开州区</w:t>
            </w:r>
            <w:r>
              <w:rPr>
                <w:rFonts w:hint="eastAsia" w:ascii="Times New Roman" w:hAnsi="Times New Roman" w:eastAsia="方正小标宋_GBK" w:cs="Times New Roman"/>
                <w:b/>
                <w:color w:val="FF3300"/>
                <w:spacing w:val="-34"/>
                <w:w w:val="55"/>
                <w:sz w:val="128"/>
                <w:szCs w:val="128"/>
                <w:lang w:val="en-US" w:eastAsia="zh-CN"/>
              </w:rPr>
              <w:t>关面乡人民政府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exact"/>
          <w:jc w:val="center"/>
        </w:trPr>
        <w:tc>
          <w:tcPr>
            <w:tcW w:w="8833" w:type="dxa"/>
            <w:noWrap w:val="0"/>
            <w:vAlign w:val="bottom"/>
          </w:tcPr>
          <w:p>
            <w:pPr>
              <w:spacing w:line="540" w:lineRule="exact"/>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开州</w:t>
            </w:r>
            <w:r>
              <w:rPr>
                <w:rFonts w:hint="eastAsia" w:ascii="Times New Roman" w:hAnsi="Times New Roman" w:eastAsia="方正仿宋_GBK" w:cs="Times New Roman"/>
                <w:sz w:val="32"/>
                <w:szCs w:val="32"/>
                <w:lang w:val="en-US" w:eastAsia="zh-CN"/>
              </w:rPr>
              <w:t>关府发</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号</w:t>
            </w:r>
          </w:p>
          <w:p>
            <w:pPr>
              <w:spacing w:line="540" w:lineRule="exact"/>
              <w:jc w:val="both"/>
              <w:rPr>
                <w:rFonts w:hint="default" w:ascii="Times New Roman" w:hAnsi="Times New Roman" w:cs="Times New Roman"/>
                <w:color w:val="FF3300"/>
                <w:sz w:val="52"/>
                <w:szCs w:val="52"/>
              </w:rPr>
            </w:pPr>
            <w:r>
              <w:rPr>
                <w:rFonts w:hint="default" w:ascii="Times New Roman" w:hAnsi="Times New Roman" w:cs="Times New Roman"/>
                <w:color w:val="FF3300"/>
                <w:sz w:val="52"/>
                <w:szCs w:val="52"/>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150495</wp:posOffset>
                      </wp:positionV>
                      <wp:extent cx="5577840" cy="15240"/>
                      <wp:effectExtent l="0" t="0" r="0" b="0"/>
                      <wp:wrapNone/>
                      <wp:docPr id="7" name="直接连接符 7"/>
                      <wp:cNvGraphicFramePr/>
                      <a:graphic xmlns:a="http://schemas.openxmlformats.org/drawingml/2006/main">
                        <a:graphicData uri="http://schemas.microsoft.com/office/word/2010/wordprocessingShape">
                          <wps:wsp>
                            <wps:cNvCnPr/>
                            <wps:spPr>
                              <a:xfrm>
                                <a:off x="0" y="0"/>
                                <a:ext cx="5577840" cy="15240"/>
                              </a:xfrm>
                              <a:prstGeom prst="line">
                                <a:avLst/>
                              </a:prstGeom>
                              <a:ln w="2032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2pt;margin-top:11.85pt;height:1.2pt;width:439.2pt;z-index:251660288;mso-width-relative:page;mso-height-relative:page;" filled="f" stroked="t" coordsize="21600,21600" o:gfxdata="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WODRjXAAAACAEAAA8AAAAAAAAAAQAgAAAAIgAAAGRycy9kb3ducmV2&#10;LnhtbFBLAQIUABQAAAAIAIdO4kBxPPap/QEAAPcDAAAOAAAAAAAAAAEAIAAAACYBAABkcnMvZTJv&#10;RG9jLnhtbFBLBQYAAAAABgAGAFkBAACVBQAAAAA=&#10;">
                      <v:fill on="f" focussize="0,0"/>
                      <v:stroke weight="1.6pt" color="#FF0000" joinstyle="round"/>
                      <v:imagedata o:title=""/>
                      <o:lock v:ext="edit" aspectratio="f"/>
                    </v:line>
                  </w:pict>
                </mc:Fallback>
              </mc:AlternateContent>
            </w:r>
          </w:p>
        </w:tc>
      </w:tr>
    </w:tbl>
    <w:p>
      <w:pPr>
        <w:pStyle w:val="3"/>
        <w:spacing w:line="620" w:lineRule="exact"/>
        <w:ind w:firstLine="0" w:firstLineChars="0"/>
        <w:jc w:val="center"/>
        <w:rPr>
          <w:rFonts w:hint="default" w:ascii="Times New Roman" w:hAnsi="Times New Roman" w:eastAsia="方正小标宋_GBK" w:cs="Times New Roman"/>
          <w:color w:val="000000"/>
          <w:sz w:val="44"/>
          <w:szCs w:val="44"/>
          <w:highlight w:val="none"/>
          <w:lang w:val="en-US" w:eastAsia="zh-CN"/>
        </w:rPr>
      </w:pPr>
      <w:r>
        <w:rPr>
          <w:rFonts w:hint="default" w:ascii="Times New Roman" w:hAnsi="Times New Roman" w:eastAsia="方正小标宋_GBK" w:cs="Times New Roman"/>
          <w:color w:val="000000"/>
          <w:sz w:val="44"/>
          <w:szCs w:val="44"/>
          <w:highlight w:val="none"/>
        </w:rPr>
        <w:t>重庆市开州区</w:t>
      </w:r>
      <w:r>
        <w:rPr>
          <w:rFonts w:hint="eastAsia" w:ascii="Times New Roman" w:hAnsi="Times New Roman" w:eastAsia="方正小标宋_GBK" w:cs="Times New Roman"/>
          <w:color w:val="000000"/>
          <w:sz w:val="44"/>
          <w:szCs w:val="44"/>
          <w:highlight w:val="none"/>
          <w:lang w:val="en-US" w:eastAsia="zh-CN"/>
        </w:rPr>
        <w:t>关面乡人民政府</w:t>
      </w:r>
    </w:p>
    <w:p>
      <w:pPr>
        <w:pStyle w:val="3"/>
        <w:spacing w:line="620" w:lineRule="exact"/>
        <w:ind w:firstLine="0" w:firstLineChars="0"/>
        <w:jc w:val="center"/>
        <w:rPr>
          <w:rFonts w:hint="eastAsia" w:ascii="Times New Roman" w:hAnsi="Times New Roman" w:eastAsia="方正小标宋_GBK" w:cs="Times New Roman"/>
          <w:color w:val="000000"/>
          <w:sz w:val="44"/>
          <w:szCs w:val="44"/>
          <w:highlight w:val="none"/>
          <w:lang w:val="en-US" w:eastAsia="zh-CN"/>
        </w:rPr>
      </w:pPr>
      <w:r>
        <w:rPr>
          <w:rFonts w:hint="default" w:ascii="Times New Roman" w:hAnsi="Times New Roman" w:eastAsia="方正小标宋_GBK" w:cs="Times New Roman"/>
          <w:color w:val="000000"/>
          <w:sz w:val="44"/>
          <w:szCs w:val="44"/>
          <w:highlight w:val="none"/>
          <w:lang w:val="en-US" w:eastAsia="zh-CN"/>
        </w:rPr>
        <w:t>关于</w:t>
      </w:r>
      <w:r>
        <w:rPr>
          <w:rFonts w:hint="eastAsia" w:ascii="Times New Roman" w:hAnsi="Times New Roman" w:eastAsia="方正小标宋_GBK" w:cs="Times New Roman"/>
          <w:color w:val="000000"/>
          <w:sz w:val="44"/>
          <w:szCs w:val="44"/>
          <w:highlight w:val="none"/>
          <w:lang w:val="en-US" w:eastAsia="zh-CN"/>
        </w:rPr>
        <w:t>关面乡人民政府（本级）</w:t>
      </w:r>
      <w:r>
        <w:rPr>
          <w:rFonts w:hint="default" w:ascii="Times New Roman" w:hAnsi="Times New Roman" w:eastAsia="方正小标宋_GBK" w:cs="Times New Roman"/>
          <w:color w:val="000000"/>
          <w:sz w:val="44"/>
          <w:szCs w:val="44"/>
          <w:highlight w:val="none"/>
          <w:lang w:val="en-US" w:eastAsia="zh-CN"/>
        </w:rPr>
        <w:t>2026</w:t>
      </w:r>
      <w:r>
        <w:rPr>
          <w:rFonts w:hint="default" w:ascii="Times New Roman" w:hAnsi="Times New Roman" w:eastAsia="方正小标宋_GBK" w:cs="Times New Roman"/>
          <w:color w:val="000000"/>
          <w:sz w:val="44"/>
          <w:szCs w:val="44"/>
          <w:highlight w:val="none"/>
        </w:rPr>
        <w:t>年</w:t>
      </w:r>
      <w:r>
        <w:rPr>
          <w:rFonts w:hint="eastAsia" w:ascii="Times New Roman" w:hAnsi="Times New Roman" w:eastAsia="方正小标宋_GBK" w:cs="Times New Roman"/>
          <w:color w:val="000000"/>
          <w:sz w:val="44"/>
          <w:szCs w:val="44"/>
          <w:highlight w:val="none"/>
          <w:lang w:val="en-US" w:eastAsia="zh-CN"/>
        </w:rPr>
        <w:t>单位</w:t>
      </w:r>
    </w:p>
    <w:p>
      <w:pPr>
        <w:pStyle w:val="3"/>
        <w:spacing w:line="620" w:lineRule="exact"/>
        <w:ind w:firstLine="0" w:firstLineChars="0"/>
        <w:jc w:val="center"/>
        <w:rPr>
          <w:rFonts w:hint="default" w:ascii="Times New Roman" w:hAnsi="Times New Roman" w:eastAsia="方正小标宋_GBK" w:cs="Times New Roman"/>
          <w:color w:val="000000"/>
          <w:sz w:val="44"/>
          <w:szCs w:val="44"/>
          <w:highlight w:val="none"/>
          <w:lang w:val="en-US" w:eastAsia="zh-CN"/>
        </w:rPr>
      </w:pPr>
      <w:r>
        <w:rPr>
          <w:rFonts w:hint="default" w:ascii="Times New Roman" w:hAnsi="Times New Roman" w:eastAsia="方正小标宋_GBK" w:cs="Times New Roman"/>
          <w:color w:val="000000"/>
          <w:sz w:val="44"/>
          <w:szCs w:val="44"/>
          <w:highlight w:val="none"/>
        </w:rPr>
        <w:t>预算情况公开的</w:t>
      </w:r>
      <w:r>
        <w:rPr>
          <w:rFonts w:hint="default" w:ascii="Times New Roman" w:hAnsi="Times New Roman" w:eastAsia="方正小标宋_GBK" w:cs="Times New Roman"/>
          <w:color w:val="000000"/>
          <w:sz w:val="44"/>
          <w:szCs w:val="44"/>
          <w:highlight w:val="none"/>
          <w:lang w:eastAsia="zh-CN"/>
        </w:rPr>
        <w:t>公示</w:t>
      </w:r>
    </w:p>
    <w:p>
      <w:pPr>
        <w:ind w:firstLine="640" w:firstLineChars="200"/>
        <w:rPr>
          <w:rFonts w:hint="default" w:ascii="Times New Roman" w:hAnsi="Times New Roman" w:eastAsia="方正仿宋_GBK" w:cs="Times New Roman"/>
          <w:sz w:val="32"/>
          <w:szCs w:val="32"/>
          <w:highlight w:val="none"/>
        </w:rPr>
      </w:pP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按照有关财政预算公开的部署和要求，依据《中华人民共和国政府信息公开条例》（国务院令第492号）和《关于批复</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乡</w:t>
      </w:r>
      <w:r>
        <w:rPr>
          <w:rFonts w:hint="default" w:ascii="Times New Roman" w:hAnsi="Times New Roman" w:eastAsia="方正仿宋_GBK" w:cs="Times New Roman"/>
          <w:sz w:val="32"/>
          <w:szCs w:val="32"/>
          <w:highlight w:val="none"/>
        </w:rPr>
        <w:t>级</w:t>
      </w:r>
      <w:r>
        <w:rPr>
          <w:rFonts w:hint="default" w:ascii="Times New Roman" w:hAnsi="Times New Roman" w:eastAsia="方正仿宋_GBK" w:cs="Times New Roman"/>
          <w:sz w:val="32"/>
          <w:szCs w:val="32"/>
          <w:highlight w:val="none"/>
          <w:lang w:eastAsia="zh-CN"/>
        </w:rPr>
        <w:t>财政</w:t>
      </w:r>
      <w:r>
        <w:rPr>
          <w:rFonts w:hint="default" w:ascii="Times New Roman" w:hAnsi="Times New Roman" w:eastAsia="方正仿宋_GBK" w:cs="Times New Roman"/>
          <w:sz w:val="32"/>
          <w:szCs w:val="32"/>
          <w:highlight w:val="none"/>
        </w:rPr>
        <w:t>预算的通知》（开</w:t>
      </w:r>
      <w:r>
        <w:rPr>
          <w:rFonts w:hint="eastAsia" w:ascii="Times New Roman" w:hAnsi="Times New Roman" w:eastAsia="方正仿宋_GBK" w:cs="Times New Roman"/>
          <w:sz w:val="32"/>
          <w:szCs w:val="32"/>
          <w:highlight w:val="none"/>
          <w:lang w:val="en-US" w:eastAsia="zh-CN"/>
        </w:rPr>
        <w:t>州关府发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号）,现将</w:t>
      </w:r>
      <w:r>
        <w:rPr>
          <w:rFonts w:hint="eastAsia" w:ascii="Times New Roman" w:hAnsi="Times New Roman" w:eastAsia="方正仿宋_GBK" w:cs="Times New Roman"/>
          <w:sz w:val="32"/>
          <w:szCs w:val="32"/>
          <w:highlight w:val="none"/>
          <w:lang w:val="en-US" w:eastAsia="zh-CN"/>
        </w:rPr>
        <w:t>重庆市开州区关面乡人民政府（本级）</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预算批复情况公开如下：</w:t>
      </w:r>
    </w:p>
    <w:p>
      <w:pPr>
        <w:jc w:val="center"/>
        <w:rPr>
          <w:rFonts w:hint="default" w:ascii="Times New Roman" w:hAnsi="Times New Roman" w:eastAsia="方正黑体_GBK" w:cs="Times New Roman"/>
          <w:sz w:val="32"/>
          <w:szCs w:val="32"/>
          <w:highlight w:val="none"/>
        </w:rPr>
      </w:pPr>
    </w:p>
    <w:p>
      <w:pPr>
        <w:jc w:val="center"/>
        <w:rPr>
          <w:rFonts w:hint="default" w:ascii="Times New Roman" w:hAnsi="Times New Roman" w:eastAsia="方正黑体_GBK" w:cs="Times New Roman"/>
          <w:sz w:val="32"/>
          <w:szCs w:val="32"/>
          <w:highlight w:val="none"/>
        </w:rPr>
      </w:pPr>
    </w:p>
    <w:p>
      <w:pPr>
        <w:jc w:val="center"/>
        <w:rPr>
          <w:rFonts w:hint="default" w:ascii="Times New Roman" w:hAnsi="Times New Roman" w:eastAsia="方正小标宋_GBK" w:cs="Times New Roman"/>
          <w:sz w:val="44"/>
          <w:szCs w:val="44"/>
          <w:highlight w:val="none"/>
        </w:rPr>
      </w:pPr>
    </w:p>
    <w:p>
      <w:pPr>
        <w:jc w:val="both"/>
        <w:rPr>
          <w:rFonts w:hint="default" w:ascii="Times New Roman" w:hAnsi="Times New Roman" w:eastAsia="方正小标宋_GBK" w:cs="Times New Roman"/>
          <w:sz w:val="44"/>
          <w:szCs w:val="44"/>
          <w:highlight w:val="none"/>
        </w:rPr>
      </w:pPr>
    </w:p>
    <w:p>
      <w:pPr>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rPr>
          <w:rFonts w:hint="default" w:ascii="Times New Roman" w:hAnsi="Times New Roman" w:cs="Times New Roman"/>
          <w:highlight w:val="none"/>
        </w:rPr>
      </w:pPr>
    </w:p>
    <w:p>
      <w:pPr>
        <w:jc w:val="center"/>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val="en-US" w:eastAsia="zh-CN"/>
        </w:rPr>
        <w:t>单位</w:t>
      </w:r>
      <w:r>
        <w:rPr>
          <w:rFonts w:hint="default" w:ascii="Times New Roman" w:hAnsi="Times New Roman" w:eastAsia="方正楷体_GBK" w:cs="Times New Roman"/>
          <w:sz w:val="32"/>
          <w:szCs w:val="32"/>
          <w:highlight w:val="none"/>
        </w:rPr>
        <w:t>预算情况说明</w:t>
      </w:r>
    </w:p>
    <w:p>
      <w:pPr>
        <w:rPr>
          <w:rFonts w:hint="default" w:ascii="Times New Roman" w:hAnsi="Times New Roman" w:cs="Times New Roman"/>
          <w:highlight w:val="none"/>
        </w:rPr>
      </w:pP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收支总体情况</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w:t>
      </w: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预算情况说明</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rPr>
          <w:rFonts w:hint="default" w:ascii="Times New Roman" w:hAnsi="Times New Roman" w:eastAsia="方正仿宋_GBK" w:cs="Times New Roman"/>
          <w:sz w:val="32"/>
          <w:szCs w:val="32"/>
          <w:highlight w:val="none"/>
        </w:rPr>
      </w:pPr>
    </w:p>
    <w:p>
      <w:pPr>
        <w:jc w:val="center"/>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val="en-US" w:eastAsia="zh-CN"/>
        </w:rPr>
        <w:t>单位</w:t>
      </w:r>
      <w:r>
        <w:rPr>
          <w:rFonts w:hint="default" w:ascii="Times New Roman" w:hAnsi="Times New Roman" w:eastAsia="方正楷体_GBK" w:cs="Times New Roman"/>
          <w:sz w:val="32"/>
          <w:szCs w:val="32"/>
          <w:highlight w:val="none"/>
        </w:rPr>
        <w:t>预算公开报表</w:t>
      </w:r>
    </w:p>
    <w:p>
      <w:pPr>
        <w:rPr>
          <w:rFonts w:hint="default" w:ascii="Times New Roman" w:hAnsi="Times New Roman" w:cs="Times New Roman"/>
          <w:highlight w:val="none"/>
        </w:rPr>
      </w:pP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val="en-US" w:eastAsia="zh-CN"/>
        </w:rPr>
        <w:t>重庆市开州区关面乡人民政府（本级）</w:t>
      </w:r>
      <w:r>
        <w:rPr>
          <w:rFonts w:hint="default" w:ascii="Times New Roman" w:hAnsi="Times New Roman" w:eastAsia="方正仿宋_GBK" w:cs="Times New Roman"/>
          <w:sz w:val="32"/>
          <w:szCs w:val="32"/>
          <w:highlight w:val="none"/>
        </w:rPr>
        <w:t>收支预算总表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val="en-US" w:eastAsia="zh-CN"/>
        </w:rPr>
        <w:t>重庆市开州区关面乡人民政府（本级）</w:t>
      </w:r>
      <w:r>
        <w:rPr>
          <w:rFonts w:hint="default" w:ascii="Times New Roman" w:hAnsi="Times New Roman" w:eastAsia="方正仿宋_GBK" w:cs="Times New Roman"/>
          <w:sz w:val="32"/>
          <w:szCs w:val="32"/>
          <w:highlight w:val="none"/>
        </w:rPr>
        <w:t>收入总表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val="en-US" w:eastAsia="zh-CN"/>
        </w:rPr>
        <w:t>重庆市开州区关面乡人民政府（本级）</w:t>
      </w:r>
      <w:r>
        <w:rPr>
          <w:rFonts w:hint="default" w:ascii="Times New Roman" w:hAnsi="Times New Roman" w:eastAsia="方正仿宋_GBK" w:cs="Times New Roman"/>
          <w:sz w:val="32"/>
          <w:szCs w:val="32"/>
          <w:highlight w:val="none"/>
        </w:rPr>
        <w:t>本年支出预算总表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val="en-US" w:eastAsia="zh-CN"/>
        </w:rPr>
        <w:t>重庆市开州区关面乡人民政府（本级）</w:t>
      </w:r>
      <w:r>
        <w:rPr>
          <w:rFonts w:hint="default" w:ascii="Times New Roman" w:hAnsi="Times New Roman" w:eastAsia="方正仿宋_GBK" w:cs="Times New Roman"/>
          <w:sz w:val="32"/>
          <w:szCs w:val="32"/>
          <w:highlight w:val="none"/>
        </w:rPr>
        <w:t>财政拨款收支预算总表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val="en-US" w:eastAsia="zh-CN"/>
        </w:rPr>
        <w:t>重庆市开州区关面乡人民政府（本级）</w:t>
      </w:r>
      <w:r>
        <w:rPr>
          <w:rFonts w:hint="default" w:ascii="Times New Roman" w:hAnsi="Times New Roman" w:eastAsia="方正仿宋_GBK" w:cs="Times New Roman"/>
          <w:sz w:val="32"/>
          <w:szCs w:val="32"/>
          <w:highlight w:val="none"/>
        </w:rPr>
        <w:t>本年一般公共预算支出预算表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val="en-US" w:eastAsia="zh-CN"/>
        </w:rPr>
        <w:t>重庆市开州区关面乡人民政府（本级）</w:t>
      </w:r>
      <w:r>
        <w:rPr>
          <w:rFonts w:hint="default" w:ascii="Times New Roman" w:hAnsi="Times New Roman" w:eastAsia="方正仿宋_GBK" w:cs="Times New Roman"/>
          <w:sz w:val="32"/>
          <w:szCs w:val="32"/>
          <w:highlight w:val="none"/>
        </w:rPr>
        <w:t>一般公共预算基本支出预算表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val="en-US" w:eastAsia="zh-CN"/>
        </w:rPr>
        <w:t>重庆市开州区关面乡人民政府（本级）</w:t>
      </w:r>
      <w:r>
        <w:rPr>
          <w:rFonts w:hint="default" w:ascii="Times New Roman" w:hAnsi="Times New Roman" w:eastAsia="方正仿宋_GBK" w:cs="Times New Roman"/>
          <w:sz w:val="32"/>
          <w:szCs w:val="32"/>
          <w:highlight w:val="none"/>
        </w:rPr>
        <w:t>一般公共预算“三公”经费支出预算表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val="en-US" w:eastAsia="zh-CN"/>
        </w:rPr>
        <w:t>重庆市开州区关面乡人民政府（本级）</w:t>
      </w:r>
      <w:r>
        <w:rPr>
          <w:rFonts w:hint="default" w:ascii="Times New Roman" w:hAnsi="Times New Roman" w:eastAsia="方正仿宋_GBK" w:cs="Times New Roman"/>
          <w:sz w:val="32"/>
          <w:szCs w:val="32"/>
          <w:highlight w:val="none"/>
        </w:rPr>
        <w:t>政府性基金预算支出预算表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val="en-US" w:eastAsia="zh-CN"/>
        </w:rPr>
        <w:t>重庆市开州区关面乡人民政府（本级）</w:t>
      </w:r>
      <w:r>
        <w:rPr>
          <w:rFonts w:hint="default" w:ascii="Times New Roman" w:hAnsi="Times New Roman" w:eastAsia="方正仿宋_GBK" w:cs="Times New Roman"/>
          <w:sz w:val="32"/>
          <w:szCs w:val="32"/>
          <w:highlight w:val="none"/>
        </w:rPr>
        <w:t>国有资本经营预算支出预算表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val="en-US" w:eastAsia="zh-CN"/>
        </w:rPr>
        <w:t>重庆市开州区关面乡人民政府（本级）</w:t>
      </w:r>
      <w:r>
        <w:rPr>
          <w:rFonts w:hint="default" w:ascii="Times New Roman" w:hAnsi="Times New Roman" w:eastAsia="方正仿宋_GBK" w:cs="Times New Roman"/>
          <w:sz w:val="32"/>
          <w:szCs w:val="32"/>
          <w:highlight w:val="none"/>
        </w:rPr>
        <w:t>项目支出表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w:t>
      </w:r>
      <w:r>
        <w:rPr>
          <w:rFonts w:hint="eastAsia" w:ascii="Times New Roman" w:hAnsi="Times New Roman" w:eastAsia="方正仿宋_GBK" w:cs="Times New Roman"/>
          <w:sz w:val="32"/>
          <w:szCs w:val="32"/>
          <w:highlight w:val="none"/>
          <w:lang w:val="en-US" w:eastAsia="zh-CN"/>
        </w:rPr>
        <w:t>2026年重庆市开州区关面乡人民政府（本级）</w:t>
      </w:r>
      <w:r>
        <w:rPr>
          <w:rFonts w:hint="default" w:ascii="Times New Roman" w:hAnsi="Times New Roman" w:eastAsia="方正仿宋_GBK" w:cs="Times New Roman"/>
          <w:sz w:val="32"/>
          <w:szCs w:val="32"/>
          <w:highlight w:val="none"/>
        </w:rPr>
        <w:t>项目绩效目标表</w:t>
      </w:r>
    </w:p>
    <w:p>
      <w:pPr>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val="en-US" w:eastAsia="zh-CN"/>
        </w:rPr>
        <w:t>单位</w:t>
      </w:r>
      <w:r>
        <w:rPr>
          <w:rFonts w:hint="default" w:ascii="Times New Roman" w:hAnsi="Times New Roman" w:eastAsia="方正小标宋_GBK" w:cs="Times New Roman"/>
          <w:sz w:val="44"/>
          <w:szCs w:val="44"/>
          <w:highlight w:val="none"/>
        </w:rPr>
        <w:t>预算情况说明</w:t>
      </w:r>
    </w:p>
    <w:p>
      <w:pPr>
        <w:spacing w:line="600" w:lineRule="exact"/>
        <w:ind w:firstLine="880" w:firstLineChars="200"/>
        <w:jc w:val="center"/>
        <w:rPr>
          <w:rFonts w:hint="default" w:ascii="Times New Roman" w:hAnsi="Times New Roman" w:eastAsia="华文中宋" w:cs="Times New Roman"/>
          <w:sz w:val="44"/>
          <w:szCs w:val="44"/>
          <w:highlight w:val="none"/>
        </w:rPr>
      </w:pP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highlight w:val="none"/>
        </w:rPr>
      </w:pPr>
      <w:r>
        <w:rPr>
          <w:rFonts w:hint="eastAsia" w:ascii="Times New Roman" w:hAnsi="Times New Roman" w:eastAsia="方正小标宋_GBK" w:cs="Times New Roman"/>
          <w:sz w:val="32"/>
          <w:szCs w:val="32"/>
          <w:highlight w:val="none"/>
          <w:lang w:val="en-US" w:eastAsia="zh-CN"/>
        </w:rPr>
        <w:t>1.</w:t>
      </w:r>
      <w:r>
        <w:rPr>
          <w:rFonts w:hint="eastAsia" w:ascii="方正仿宋_GBK" w:hAnsi="方正仿宋_GBK" w:eastAsia="方正仿宋_GBK" w:cs="方正仿宋_GBK"/>
          <w:sz w:val="32"/>
          <w:highlight w:val="none"/>
        </w:rPr>
        <w:t>加强基层党的建设。坚持党要管党、全面从严治党，切实加强党的政治建设、思想建设、组织建设、作风建设、纪律建设，把制度建设贯穿其中，深入推进反腐败斗争，推动全面从严治党向基层延伸。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highlight w:val="none"/>
        </w:rPr>
      </w:pPr>
      <w:r>
        <w:rPr>
          <w:rFonts w:hint="eastAsia" w:ascii="Times New Roman" w:hAnsi="Times New Roman" w:eastAsia="方正小标宋_GBK" w:cs="Times New Roman"/>
          <w:sz w:val="32"/>
          <w:szCs w:val="32"/>
          <w:highlight w:val="none"/>
          <w:lang w:val="en-US" w:eastAsia="zh-CN"/>
        </w:rPr>
        <w:t>2.</w:t>
      </w:r>
      <w:r>
        <w:rPr>
          <w:rFonts w:hint="eastAsia" w:ascii="方正仿宋_GBK" w:hAnsi="方正仿宋_GBK" w:eastAsia="方正仿宋_GBK" w:cs="方正仿宋_GBK"/>
          <w:sz w:val="32"/>
          <w:highlight w:val="none"/>
        </w:rPr>
        <w:t>强化经济发展职能。正确处理好政府与市场、政府与社会的关系，规范市场秩序，为各类市场主体创造统一开放、公平竞争的发展环境，激发市场、社会的创造活力。强化产业引导，科学编制发展规划，构建新型农业经营体系。落实强农惠农政策，推进扶贫开发，促进农民持续增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highlight w:val="none"/>
        </w:rPr>
      </w:pPr>
      <w:r>
        <w:rPr>
          <w:rFonts w:hint="eastAsia" w:ascii="Times New Roman" w:hAnsi="Times New Roman" w:eastAsia="方正小标宋_GBK" w:cs="Times New Roman"/>
          <w:sz w:val="32"/>
          <w:szCs w:val="32"/>
          <w:highlight w:val="none"/>
          <w:lang w:val="en-US" w:eastAsia="zh-CN"/>
        </w:rPr>
        <w:t>3.</w:t>
      </w:r>
      <w:r>
        <w:rPr>
          <w:rFonts w:hint="eastAsia" w:ascii="方正仿宋_GBK" w:hAnsi="方正仿宋_GBK" w:eastAsia="方正仿宋_GBK" w:cs="方正仿宋_GBK"/>
          <w:sz w:val="32"/>
          <w:highlight w:val="none"/>
        </w:rPr>
        <w:t>强化公共服务职能。加快义务教育、学前教育、劳动就业、基本医疗卫生、公共文化体育、计划生育等社会事业发展，完善社会保险、社会救助、社会福利、优抚安置、扶贫济困、法律服务等社会保障体系。创新公共服务供给方式，优化基本公共服务资源配置，统筹基本公共服务设施的空间布局，实现基本公共服务全覆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highlight w:val="none"/>
        </w:rPr>
      </w:pPr>
      <w:r>
        <w:rPr>
          <w:rFonts w:hint="eastAsia" w:ascii="Times New Roman" w:hAnsi="Times New Roman" w:eastAsia="方正小标宋_GBK" w:cs="Times New Roman"/>
          <w:sz w:val="32"/>
          <w:szCs w:val="32"/>
          <w:highlight w:val="none"/>
          <w:lang w:val="en-US" w:eastAsia="zh-CN"/>
        </w:rPr>
        <w:t>4.</w:t>
      </w:r>
      <w:r>
        <w:rPr>
          <w:rFonts w:hint="eastAsia" w:ascii="方正仿宋_GBK" w:hAnsi="方正仿宋_GBK" w:eastAsia="方正仿宋_GBK" w:cs="方正仿宋_GBK"/>
          <w:sz w:val="32"/>
          <w:highlight w:val="none"/>
        </w:rPr>
        <w:t>强化公共管理职能。加强村镇规划建设和生态环境保护，强化城镇和村容村貌管理。健全重大社情、疫情、险情等公共突发事件的预防和应急处理机制。推进社会治安综合治理，完善社会治安防控体系。加强信访工作，建立调处化解矛盾纠纷综合机制，确保农村社会和谐稳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highlight w:val="none"/>
        </w:rPr>
      </w:pPr>
      <w:r>
        <w:rPr>
          <w:rFonts w:hint="eastAsia" w:ascii="Times New Roman" w:hAnsi="Times New Roman" w:eastAsia="方正小标宋_GBK" w:cs="Times New Roman"/>
          <w:sz w:val="32"/>
          <w:szCs w:val="32"/>
          <w:highlight w:val="none"/>
          <w:lang w:val="en-US" w:eastAsia="zh-CN"/>
        </w:rPr>
        <w:t>5.</w:t>
      </w:r>
      <w:r>
        <w:rPr>
          <w:rFonts w:hint="eastAsia" w:ascii="方正仿宋_GBK" w:hAnsi="方正仿宋_GBK" w:eastAsia="方正仿宋_GBK" w:cs="方正仿宋_GBK"/>
          <w:sz w:val="32"/>
          <w:highlight w:val="none"/>
        </w:rPr>
        <w:t>强化公共安全职能。加强安全生产、食品药品、生态建设、农产品质量安全等监督管理，建立健全隐患排查治理体系和安全预防控制体系。推进基层行政执法体制改革，完善执法保障机制，增强执法监督能力。</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80" w:lineRule="exact"/>
        <w:ind w:left="640" w:firstLine="0" w:firstLineChars="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sz w:val="32"/>
          <w:highlight w:val="none"/>
        </w:rPr>
      </w:pPr>
      <w:r>
        <w:rPr>
          <w:rFonts w:hint="eastAsia" w:ascii="方正仿宋_GBK" w:hAnsi="方正仿宋_GBK" w:eastAsia="方正仿宋_GBK" w:cs="方正仿宋_GBK"/>
          <w:sz w:val="32"/>
          <w:highlight w:val="none"/>
        </w:rPr>
        <w:t>重庆市开州区</w:t>
      </w:r>
      <w:r>
        <w:rPr>
          <w:rFonts w:hint="eastAsia" w:ascii="方正仿宋_GBK" w:hAnsi="方正仿宋_GBK" w:eastAsia="方正仿宋_GBK" w:cs="方正仿宋_GBK"/>
          <w:sz w:val="32"/>
          <w:highlight w:val="none"/>
          <w:lang w:val="en-US" w:eastAsia="zh-CN"/>
        </w:rPr>
        <w:t>关面乡</w:t>
      </w:r>
      <w:r>
        <w:rPr>
          <w:rFonts w:hint="eastAsia" w:ascii="方正仿宋_GBK" w:hAnsi="方正仿宋_GBK" w:eastAsia="方正仿宋_GBK" w:cs="方正仿宋_GBK"/>
          <w:sz w:val="32"/>
          <w:highlight w:val="none"/>
        </w:rPr>
        <w:t>人民政府</w:t>
      </w:r>
      <w:r>
        <w:rPr>
          <w:rFonts w:hint="eastAsia" w:ascii="方正仿宋_GBK" w:hAnsi="方正仿宋_GBK" w:eastAsia="方正仿宋_GBK" w:cs="方正仿宋_GBK"/>
          <w:sz w:val="32"/>
          <w:highlight w:val="none"/>
          <w:lang w:eastAsia="zh-CN"/>
        </w:rPr>
        <w:t>（</w:t>
      </w:r>
      <w:r>
        <w:rPr>
          <w:rFonts w:hint="eastAsia" w:ascii="方正仿宋_GBK" w:hAnsi="方正仿宋_GBK" w:eastAsia="方正仿宋_GBK" w:cs="方正仿宋_GBK"/>
          <w:sz w:val="32"/>
          <w:highlight w:val="none"/>
          <w:lang w:val="en-US" w:eastAsia="zh-CN"/>
        </w:rPr>
        <w:t>本级</w:t>
      </w:r>
      <w:r>
        <w:rPr>
          <w:rFonts w:hint="eastAsia" w:ascii="方正仿宋_GBK" w:hAnsi="方正仿宋_GBK" w:eastAsia="方正仿宋_GBK" w:cs="方正仿宋_GBK"/>
          <w:sz w:val="32"/>
          <w:highlight w:val="none"/>
          <w:lang w:eastAsia="zh-CN"/>
        </w:rPr>
        <w:t>）为二级预算单位，</w:t>
      </w:r>
      <w:r>
        <w:rPr>
          <w:rFonts w:hint="eastAsia" w:ascii="方正仿宋_GBK" w:hAnsi="方正仿宋_GBK" w:eastAsia="方正仿宋_GBK" w:cs="方正仿宋_GBK"/>
          <w:sz w:val="32"/>
          <w:highlight w:val="none"/>
        </w:rPr>
        <w:t>内设</w:t>
      </w:r>
      <w:r>
        <w:rPr>
          <w:rFonts w:hint="eastAsia" w:ascii="Times New Roman" w:hAnsi="Times New Roman" w:eastAsia="方正小标宋_GBK" w:cs="Times New Roman"/>
          <w:sz w:val="32"/>
          <w:szCs w:val="32"/>
          <w:highlight w:val="none"/>
          <w:lang w:val="en-US" w:eastAsia="zh-CN"/>
        </w:rPr>
        <w:t>5</w:t>
      </w:r>
      <w:r>
        <w:rPr>
          <w:rFonts w:hint="eastAsia" w:ascii="方正仿宋_GBK" w:hAnsi="方正仿宋_GBK" w:eastAsia="方正仿宋_GBK" w:cs="方正仿宋_GBK"/>
          <w:sz w:val="32"/>
          <w:highlight w:val="none"/>
        </w:rPr>
        <w:t>个办公室，具体设置及主要职责是：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基层治理综合指挥室。主要负责综合协调、统筹调度、应急指挥的具体事务工作；负责一体化治理智治平台运行的管理保障，平台接收事项的受理、分析、流转、处置、督办、反馈、考核等工作；负责基层网格建设和管理等工作；负责督查、考评、数字化建设等工作；负责文电、机要、保密、档案、政务公开、值班值守、印章管理、会务等工作；负责后勤保障服务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党的建设办公室。主要负责党的政治建设、思想建设、组织建设、作风建设、纪律建设、制度建设和反腐败斗争；负责纪检、组织人事、宣传思想文化、意识形态、统一战线、社会工作、全面深化改革、机构编制、巡察、老干部、精神文明建设、网络信息安全等工作；负责人大工作，政协联络工作；负责群团和关心下一代工作，负责未成年人保护工作的组织、协调、指导、督促，负责家庭暴力预防、家庭教育指导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经济发展办公室。主要负责发展改革、农业农村和乡村振兴、水利、科技、经济和信息化、商务、旅游、经济社会统计、林业、招商引资、供销合作等工作；负责农村经营管理、产业结构调整、农产品质量安全监督管理等工作；负责市场主体培育、营商环境改善、区域协作等工作；承担移民搬迁安置有关后续工作，负责三峡后续项目及对口支援项目的策划、申报、组织实施、资金管理、档案收集整理等工作；负责规划建设、自然资源、生态环保、市政管理、农房建设管理、农村公路建设管理、地灾防治、土地整治和复垦开发管理等工作；负责财政资金及代管资金的收支管理、财政预算、决算及财务报告；负责国有资产管理、政府采购、非税收入管理、惠农资金兑付、审计监督、内部控制、财政资金监督、绩效管理等工作；代理村（社区）会计账务；负责村（社区）财务培训和监督检查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民生服务办公室。主要负责民政、教育、卫生健康、退役军人事务、劳动就业、医疗和社会保障、政务服务、老龄事业、残疾人事业、物业管理、廉租住房保障等工作；负责落实社会保险、社会救助、社会福利、优抚安置等社会保障政策；负责村（居）民委员会换届选举组织实施和指导工作；负责优化基本公共服务资源配置，统筹公共服务设施空间布局，提供优质高效的便民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平安法治办公室。主要负责法治建设、社会治安综合治理、国家安全教育、禁毒和反邪教、信访稳定、矛盾纠纷化解调处工作；统筹做好平安创建、扫黑除恶、人民调解、社区矫正、社会治安专项整治行动等平安建设工作，组织协调流动人口、重点人群服务管理工作；负责安全生产事故类、自然灾害类等突发事件处置和综合防灾减灾救灾工作；负责安全生产综合监督管理工作，协助开展煤矿和非煤矿山、危险化学品、烟花爆竹、乡村道路、消防管理等安全生产日常监管工作；承担食品药品安全等市场监管属地责任；集中行使依法承担、授权或委托的各项行政执法权；协调、配合区级有关部门及派驻机构开展其他领域的联合执法；负责兵役、民兵、国防动员等人民武装工作；完善执法协调、公共法律服务、普法依法治理、网上网下联动化解网络舆情风险等机制，推动平安法治和社会治理工作落细落实。</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val="en-US" w:eastAsia="zh-CN"/>
        </w:rPr>
        <w:t>单位</w:t>
      </w:r>
      <w:r>
        <w:rPr>
          <w:rFonts w:hint="default" w:ascii="Times New Roman" w:hAnsi="Times New Roman" w:eastAsia="方正黑体_GBK" w:cs="Times New Roman"/>
          <w:sz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1161.97</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1161.97</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1161.97</w:t>
      </w:r>
      <w:r>
        <w:rPr>
          <w:rFonts w:hint="default" w:ascii="Times New Roman" w:hAnsi="Times New Roman" w:eastAsia="方正仿宋_GBK" w:cs="Times New Roman"/>
          <w:sz w:val="32"/>
          <w:highlight w:val="none"/>
        </w:rPr>
        <w:t>万元，主要</w:t>
      </w:r>
      <w:r>
        <w:rPr>
          <w:rFonts w:hint="eastAsia" w:ascii="Times New Roman" w:hAnsi="Times New Roman" w:eastAsia="方正仿宋_GBK" w:cs="Times New Roman"/>
          <w:sz w:val="32"/>
          <w:highlight w:val="none"/>
          <w:lang w:eastAsia="zh-CN"/>
        </w:rPr>
        <w:t>原因</w:t>
      </w:r>
      <w:r>
        <w:rPr>
          <w:rFonts w:hint="default" w:ascii="Times New Roman" w:hAnsi="Times New Roman" w:eastAsia="方正仿宋_GBK" w:cs="Times New Roman"/>
          <w:sz w:val="32"/>
          <w:highlight w:val="none"/>
        </w:rPr>
        <w:t>是</w:t>
      </w:r>
      <w:r>
        <w:rPr>
          <w:rFonts w:hint="eastAsia" w:ascii="Times New Roman" w:hAnsi="Times New Roman" w:eastAsia="方正仿宋_GBK" w:cs="Times New Roman"/>
          <w:sz w:val="32"/>
          <w:highlight w:val="none"/>
          <w:lang w:val="en-US" w:eastAsia="zh-CN"/>
        </w:rPr>
        <w:t>二级单位按要求独立核算</w:t>
      </w:r>
      <w:r>
        <w:rPr>
          <w:rFonts w:hint="default" w:ascii="Times New Roman" w:hAnsi="Times New Roman" w:eastAsia="方正仿宋_GBK" w:cs="Times New Roman"/>
          <w:sz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1161.97</w:t>
      </w:r>
      <w:r>
        <w:rPr>
          <w:rFonts w:hint="default" w:ascii="Times New Roman" w:hAnsi="Times New Roman" w:eastAsia="方正仿宋_GBK" w:cs="Times New Roman"/>
          <w:sz w:val="32"/>
          <w:highlight w:val="none"/>
        </w:rPr>
        <w:t>万元，其中：一般公共服务支出预算</w:t>
      </w:r>
      <w:r>
        <w:rPr>
          <w:rFonts w:hint="eastAsia" w:ascii="Times New Roman" w:hAnsi="Times New Roman" w:eastAsia="方正仿宋_GBK" w:cs="Times New Roman"/>
          <w:sz w:val="32"/>
          <w:highlight w:val="none"/>
          <w:lang w:val="en-US" w:eastAsia="zh-CN"/>
        </w:rPr>
        <w:t>380.19</w:t>
      </w:r>
      <w:r>
        <w:rPr>
          <w:rFonts w:hint="default" w:ascii="Times New Roman" w:hAnsi="Times New Roman" w:eastAsia="方正仿宋_GBK" w:cs="Times New Roman"/>
          <w:sz w:val="32"/>
          <w:highlight w:val="none"/>
        </w:rPr>
        <w:t>万元，社会保障和就业支出预算</w:t>
      </w:r>
      <w:r>
        <w:rPr>
          <w:rFonts w:hint="eastAsia" w:ascii="Times New Roman" w:hAnsi="Times New Roman" w:eastAsia="方正仿宋_GBK" w:cs="Times New Roman"/>
          <w:sz w:val="32"/>
          <w:highlight w:val="none"/>
          <w:lang w:val="en-US" w:eastAsia="zh-CN"/>
        </w:rPr>
        <w:t>71.92</w:t>
      </w:r>
      <w:r>
        <w:rPr>
          <w:rFonts w:hint="default" w:ascii="Times New Roman" w:hAnsi="Times New Roman" w:eastAsia="方正仿宋_GBK" w:cs="Times New Roman"/>
          <w:sz w:val="32"/>
          <w:highlight w:val="none"/>
        </w:rPr>
        <w:t>万元，卫生健康支出预算</w:t>
      </w:r>
      <w:r>
        <w:rPr>
          <w:rFonts w:hint="eastAsia" w:ascii="Times New Roman" w:hAnsi="Times New Roman" w:eastAsia="方正仿宋_GBK" w:cs="Times New Roman"/>
          <w:sz w:val="32"/>
          <w:highlight w:val="none"/>
          <w:lang w:val="en-US" w:eastAsia="zh-CN"/>
        </w:rPr>
        <w:t>30.69</w:t>
      </w:r>
      <w:r>
        <w:rPr>
          <w:rFonts w:hint="default" w:ascii="Times New Roman" w:hAnsi="Times New Roman" w:eastAsia="方正仿宋_GBK" w:cs="Times New Roman"/>
          <w:sz w:val="32"/>
          <w:highlight w:val="none"/>
        </w:rPr>
        <w:t>万元，节能环保支出</w:t>
      </w:r>
      <w:r>
        <w:rPr>
          <w:rFonts w:hint="eastAsia" w:ascii="Times New Roman" w:hAnsi="Times New Roman" w:eastAsia="方正仿宋_GBK" w:cs="Times New Roman"/>
          <w:sz w:val="32"/>
          <w:highlight w:val="none"/>
          <w:lang w:val="en-US" w:eastAsia="zh-CN"/>
        </w:rPr>
        <w:t>58.72万元，城乡社区支出38.6万元，农林水支出548.04万元，</w:t>
      </w:r>
      <w:r>
        <w:rPr>
          <w:rFonts w:hint="default" w:ascii="Times New Roman" w:hAnsi="Times New Roman" w:eastAsia="方正仿宋_GBK" w:cs="Times New Roman"/>
          <w:sz w:val="32"/>
          <w:highlight w:val="none"/>
        </w:rPr>
        <w:t>住房保障支出预算</w:t>
      </w:r>
      <w:r>
        <w:rPr>
          <w:rFonts w:hint="eastAsia" w:ascii="Times New Roman" w:hAnsi="Times New Roman" w:eastAsia="方正仿宋_GBK" w:cs="Times New Roman"/>
          <w:sz w:val="32"/>
          <w:highlight w:val="none"/>
          <w:lang w:val="en-US" w:eastAsia="zh-CN"/>
        </w:rPr>
        <w:t>33.81</w:t>
      </w:r>
      <w:r>
        <w:rPr>
          <w:rFonts w:hint="default" w:ascii="Times New Roman" w:hAnsi="Times New Roman" w:eastAsia="方正仿宋_GBK" w:cs="Times New Roman"/>
          <w:sz w:val="32"/>
          <w:highlight w:val="none"/>
        </w:rPr>
        <w:t>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1161.97</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val="en-US" w:eastAsia="zh-CN"/>
        </w:rPr>
        <w:t>二级单位按要求独立核算</w:t>
      </w:r>
      <w:r>
        <w:rPr>
          <w:rFonts w:hint="default" w:ascii="Times New Roman" w:hAnsi="Times New Roman" w:eastAsia="方正仿宋_GBK" w:cs="Times New Roman"/>
          <w:sz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1161.97</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1161.97</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1161.97</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Times New Roman"/>
          <w:sz w:val="32"/>
          <w:highlight w:val="none"/>
          <w:lang w:val="en-US" w:eastAsia="zh-CN"/>
        </w:rPr>
        <w:t>847.5</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增加847.5</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二级单位按要求独立核算</w:t>
      </w:r>
      <w:r>
        <w:rPr>
          <w:rFonts w:hint="default" w:ascii="Times New Roman" w:hAnsi="Times New Roman" w:eastAsia="方正仿宋_GBK" w:cs="Times New Roman"/>
          <w:sz w:val="32"/>
          <w:highlight w:val="none"/>
        </w:rPr>
        <w:t>，基本支出主要用于保障在职人员工资福利及社会保险缴费，离休人员离休费，退休人员补助等，保障部门正常运转的各项商品服务支出；项目支出</w:t>
      </w:r>
      <w:r>
        <w:rPr>
          <w:rFonts w:hint="eastAsia" w:ascii="Times New Roman" w:hAnsi="Times New Roman" w:eastAsia="方正仿宋_GBK" w:cs="Times New Roman"/>
          <w:sz w:val="32"/>
          <w:highlight w:val="none"/>
          <w:lang w:val="en-US" w:eastAsia="zh-CN"/>
        </w:rPr>
        <w:t>314.47</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314.47</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二级单位按要求独立核算</w:t>
      </w:r>
      <w:r>
        <w:rPr>
          <w:rFonts w:hint="default" w:ascii="Times New Roman" w:hAnsi="Times New Roman" w:eastAsia="方正仿宋_GBK" w:cs="Times New Roman"/>
          <w:sz w:val="32"/>
          <w:highlight w:val="none"/>
        </w:rPr>
        <w:t>，项目支出主要用于城镇规划建设、农村环境日常维护、农村公路建设管护、治安综合治理、信访稳定、安全生产管理和督查、乡镇自行制定的公共服务、垃圾收运及场镇清扫保洁、垃圾车维修保养和保险费及应对预算执行中各项新增支出需求等重点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val="en-US" w:eastAsia="zh-CN"/>
        </w:rPr>
        <w:t>重庆市开州区关面乡人民政府（本级）</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80" w:lineRule="exact"/>
        <w:ind w:firstLine="600"/>
        <w:textAlignment w:val="auto"/>
        <w:rPr>
          <w:rFonts w:hint="eastAsia" w:ascii="Times New Roman" w:hAnsi="Times New Roman" w:eastAsia="方正仿宋_GBK" w:cs="Times New Roman"/>
          <w:sz w:val="32"/>
          <w:highlight w:val="none"/>
          <w:lang w:val="en-US" w:eastAsia="zh-CN"/>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6.35</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val="en-US" w:eastAsia="zh-CN"/>
        </w:rPr>
        <w:t>与</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持平</w:t>
      </w:r>
      <w:r>
        <w:rPr>
          <w:rFonts w:hint="default" w:ascii="Times New Roman" w:hAnsi="Times New Roman" w:eastAsia="方正仿宋_GBK" w:cs="Times New Roman"/>
          <w:sz w:val="32"/>
          <w:highlight w:val="none"/>
        </w:rPr>
        <w:t>。其中：公务接待费</w:t>
      </w:r>
      <w:r>
        <w:rPr>
          <w:rFonts w:hint="eastAsia" w:ascii="Times New Roman" w:hAnsi="Times New Roman" w:eastAsia="方正仿宋_GBK" w:cs="Times New Roman"/>
          <w:sz w:val="32"/>
          <w:highlight w:val="none"/>
          <w:lang w:val="en-US" w:eastAsia="zh-CN"/>
        </w:rPr>
        <w:t>2.35</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val="en-US" w:eastAsia="zh-CN"/>
        </w:rPr>
        <w:t>与</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持平</w:t>
      </w:r>
      <w:r>
        <w:rPr>
          <w:rFonts w:hint="default" w:ascii="Times New Roman" w:hAnsi="Times New Roman" w:eastAsia="方正仿宋_GBK" w:cs="Times New Roman"/>
          <w:sz w:val="32"/>
          <w:highlight w:val="none"/>
        </w:rPr>
        <w:t>；公务用车运行维护费</w:t>
      </w:r>
      <w:r>
        <w:rPr>
          <w:rFonts w:hint="eastAsia" w:ascii="Times New Roman" w:hAnsi="Times New Roman" w:eastAsia="方正仿宋_GBK" w:cs="Times New Roman"/>
          <w:sz w:val="32"/>
          <w:highlight w:val="none"/>
          <w:lang w:val="en-US" w:eastAsia="zh-CN"/>
        </w:rPr>
        <w:t>4</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val="en-US" w:eastAsia="zh-CN"/>
        </w:rPr>
        <w:t>与</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持平。</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w:t>
      </w:r>
      <w:r>
        <w:rPr>
          <w:rFonts w:hint="default" w:ascii="Times New Roman" w:hAnsi="Times New Roman" w:eastAsia="方正仿宋_GBK" w:cs="Times New Roman"/>
          <w:sz w:val="32"/>
          <w:highlight w:val="none"/>
        </w:rPr>
        <w:t>机关运行经费。</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年一般公共预算财政拨款运行经费</w:t>
      </w:r>
      <w:r>
        <w:rPr>
          <w:rFonts w:hint="eastAsia" w:ascii="Times New Roman" w:hAnsi="Times New Roman" w:eastAsia="方正仿宋_GBK" w:cs="Times New Roman"/>
          <w:sz w:val="32"/>
          <w:highlight w:val="none"/>
          <w:lang w:val="en-US" w:eastAsia="zh-CN"/>
        </w:rPr>
        <w:t>386.38</w:t>
      </w:r>
      <w:r>
        <w:rPr>
          <w:rFonts w:hint="default" w:ascii="Times New Roman" w:hAnsi="Times New Roman" w:eastAsia="方正仿宋_GBK" w:cs="Times New Roman"/>
          <w:sz w:val="32"/>
          <w:highlight w:val="none"/>
        </w:rPr>
        <w:t>万元，比上年增加</w:t>
      </w:r>
      <w:r>
        <w:rPr>
          <w:rFonts w:hint="eastAsia" w:ascii="Times New Roman" w:hAnsi="Times New Roman" w:eastAsia="方正仿宋_GBK" w:cs="Times New Roman"/>
          <w:sz w:val="32"/>
          <w:highlight w:val="none"/>
          <w:lang w:val="en-US" w:eastAsia="zh-CN"/>
        </w:rPr>
        <w:t>386.38</w:t>
      </w:r>
      <w:r>
        <w:rPr>
          <w:rFonts w:hint="default" w:ascii="Times New Roman" w:hAnsi="Times New Roman" w:eastAsia="方正仿宋_GBK" w:cs="Times New Roman"/>
          <w:sz w:val="32"/>
          <w:highlight w:val="none"/>
        </w:rPr>
        <w:t>万元，主要原因为</w:t>
      </w:r>
      <w:r>
        <w:rPr>
          <w:rFonts w:hint="eastAsia" w:ascii="Times New Roman" w:hAnsi="Times New Roman" w:eastAsia="方正仿宋_GBK" w:cs="Times New Roman"/>
          <w:sz w:val="32"/>
          <w:highlight w:val="none"/>
          <w:lang w:val="en-US" w:eastAsia="zh-CN"/>
        </w:rPr>
        <w:t>二级单位按要求独立核算</w:t>
      </w:r>
      <w:r>
        <w:rPr>
          <w:rFonts w:hint="default" w:ascii="Times New Roman" w:hAnsi="Times New Roman" w:eastAsia="方正仿宋_GBK" w:cs="Times New Roman"/>
          <w:sz w:val="32"/>
          <w:highlight w:val="none"/>
        </w:rPr>
        <w:t>。主要用于办公费、印刷费、邮电费、水电费、物管费、差旅费、会议费、培训费及其他商品和服务支出等。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default" w:ascii="Times New Roman" w:hAnsi="Times New Roman" w:eastAsia="方正仿宋_GBK" w:cs="Times New Roman"/>
          <w:sz w:val="32"/>
          <w:highlight w:val="none"/>
        </w:rPr>
        <w:t>政府采购预算总额</w:t>
      </w:r>
      <w:r>
        <w:rPr>
          <w:rFonts w:hint="eastAsia" w:ascii="Times New Roman" w:hAnsi="Times New Roman" w:eastAsia="方正仿宋_GBK" w:cs="Times New Roman"/>
          <w:sz w:val="32"/>
          <w:highlight w:val="none"/>
          <w:lang w:val="en-US" w:eastAsia="zh-CN"/>
        </w:rPr>
        <w:t>2</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2</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eastAsia" w:ascii="Times New Roman" w:hAnsi="Times New Roman" w:eastAsia="方正仿宋_GBK" w:cs="Times New Roman"/>
          <w:sz w:val="32"/>
          <w:highlight w:val="none"/>
          <w:lang w:val="en-US" w:eastAsia="zh-CN"/>
        </w:rPr>
        <w:t>2</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2</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eastAsia" w:ascii="Times New Roman" w:hAnsi="Times New Roman" w:eastAsia="方正仿宋_GBK" w:cs="Times New Roman"/>
          <w:color w:val="000000"/>
          <w:sz w:val="32"/>
          <w:highlight w:val="none"/>
          <w:lang w:val="en-US" w:eastAsia="zh-CN"/>
        </w:rPr>
        <w:t>314.47</w:t>
      </w:r>
      <w:r>
        <w:rPr>
          <w:rFonts w:hint="default" w:ascii="Times New Roman" w:hAnsi="Times New Roman" w:eastAsia="方正仿宋_GBK" w:cs="Times New Roman"/>
          <w:color w:val="000000"/>
          <w:sz w:val="32"/>
          <w:highlight w:val="none"/>
        </w:rPr>
        <w:t>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年12月，所属各预算单位共有车辆</w:t>
      </w:r>
      <w:r>
        <w:rPr>
          <w:rFonts w:hint="eastAsia" w:ascii="Times New Roman" w:hAnsi="Times New Roman" w:eastAsia="方正仿宋_GBK" w:cs="Times New Roman"/>
          <w:color w:val="000000"/>
          <w:sz w:val="32"/>
          <w:highlight w:val="none"/>
          <w:lang w:val="en-US" w:eastAsia="zh-CN"/>
        </w:rPr>
        <w:t>2</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1</w:t>
      </w:r>
      <w:r>
        <w:rPr>
          <w:rFonts w:hint="default" w:ascii="Times New Roman" w:hAnsi="Times New Roman" w:eastAsia="方正仿宋_GBK" w:cs="Times New Roman"/>
          <w:color w:val="000000"/>
          <w:sz w:val="32"/>
          <w:highlight w:val="none"/>
        </w:rPr>
        <w:t>辆、应急保障用车</w:t>
      </w:r>
      <w:r>
        <w:rPr>
          <w:rFonts w:hint="eastAsia" w:ascii="Times New Roman" w:hAnsi="Times New Roman" w:eastAsia="方正仿宋_GBK" w:cs="Times New Roman"/>
          <w:color w:val="000000"/>
          <w:sz w:val="32"/>
          <w:highlight w:val="none"/>
          <w:lang w:val="en-US" w:eastAsia="zh-CN"/>
        </w:rPr>
        <w:t>1</w:t>
      </w:r>
      <w:r>
        <w:rPr>
          <w:rFonts w:hint="default" w:ascii="Times New Roman" w:hAnsi="Times New Roman" w:eastAsia="方正仿宋_GBK" w:cs="Times New Roman"/>
          <w:color w:val="000000"/>
          <w:sz w:val="32"/>
          <w:highlight w:val="none"/>
        </w:rPr>
        <w:t>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left="640"/>
        <w:rPr>
          <w:rFonts w:hint="default" w:ascii="Times New Roman" w:hAnsi="Times New Roman" w:eastAsia="方正黑体_GBK" w:cs="Times New Roman"/>
          <w:sz w:val="32"/>
          <w:highlight w:val="none"/>
        </w:rPr>
      </w:pPr>
    </w:p>
    <w:p>
      <w:pPr>
        <w:rPr>
          <w:rFonts w:hint="default" w:ascii="Times New Roman" w:hAnsi="Times New Roman" w:eastAsia="方正仿宋_GBK" w:cs="Times New Roman"/>
          <w:sz w:val="32"/>
          <w:szCs w:val="32"/>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预算公开报表</w:t>
      </w:r>
    </w:p>
    <w:p>
      <w:pPr>
        <w:ind w:firstLine="640" w:firstLineChars="200"/>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预算公开报表（详见附表</w:t>
      </w:r>
      <w:r>
        <w:rPr>
          <w:rFonts w:hint="eastAsia" w:ascii="Times New Roman" w:hAnsi="Times New Roman" w:eastAsia="方正仿宋_GBK" w:cs="Times New Roman"/>
          <w:sz w:val="32"/>
          <w:szCs w:val="32"/>
          <w:highlight w:val="none"/>
          <w:lang w:val="en-US" w:eastAsia="zh-CN"/>
        </w:rPr>
        <w:t>重庆市开州区关面乡人民政府（本级）</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预算公开联系人：</w:t>
      </w:r>
      <w:r>
        <w:rPr>
          <w:rFonts w:hint="eastAsia" w:ascii="Times New Roman" w:hAnsi="Times New Roman" w:eastAsia="方正仿宋_GBK" w:cs="Times New Roman"/>
          <w:sz w:val="32"/>
          <w:szCs w:val="32"/>
          <w:highlight w:val="none"/>
          <w:lang w:val="en-US" w:eastAsia="zh-CN"/>
        </w:rPr>
        <w:t>陈思静</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52444516</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重庆市开州区关面乡人民政府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bookmarkStart w:id="0" w:name="_GoBack"/>
      <w:bookmarkEnd w:id="0"/>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both"/>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pStyle w:val="4"/>
        <w:keepNext w:val="0"/>
        <w:keepLines w:val="0"/>
        <w:pageBreakBefore w:val="0"/>
        <w:pBdr>
          <w:top w:val="single" w:color="auto" w:sz="4" w:space="0"/>
          <w:bottom w:val="single" w:color="auto" w:sz="4" w:space="0"/>
        </w:pBdr>
        <w:kinsoku/>
        <w:wordWrap/>
        <w:overflowPunct/>
        <w:topLinePunct w:val="0"/>
        <w:autoSpaceDE/>
        <w:autoSpaceDN/>
        <w:bidi w:val="0"/>
        <w:adjustRightInd/>
        <w:snapToGrid/>
        <w:spacing w:line="594" w:lineRule="exact"/>
        <w:ind w:left="0" w:leftChars="0" w:firstLine="280" w:firstLineChars="1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pacing w:val="0"/>
          <w:sz w:val="28"/>
          <w:szCs w:val="28"/>
          <w:lang w:val="en-US" w:eastAsia="zh-CN"/>
        </w:rPr>
        <w:t>重庆市</w:t>
      </w:r>
      <w:r>
        <w:rPr>
          <w:rFonts w:hint="default" w:ascii="Times New Roman" w:hAnsi="Times New Roman" w:eastAsia="方正仿宋_GBK" w:cs="Times New Roman"/>
          <w:spacing w:val="0"/>
          <w:sz w:val="28"/>
          <w:szCs w:val="28"/>
          <w:lang w:eastAsia="zh-CN"/>
        </w:rPr>
        <w:t>开州区关面乡</w:t>
      </w:r>
      <w:r>
        <w:rPr>
          <w:rFonts w:hint="default" w:ascii="Times New Roman" w:hAnsi="Times New Roman" w:eastAsia="方正仿宋_GBK" w:cs="Times New Roman"/>
          <w:spacing w:val="0"/>
          <w:sz w:val="28"/>
          <w:szCs w:val="28"/>
          <w:lang w:val="en-US" w:eastAsia="zh-CN"/>
        </w:rPr>
        <w:t>基层治理综合指挥室</w:t>
      </w:r>
      <w:r>
        <w:rPr>
          <w:rFonts w:hint="eastAsia" w:ascii="Times New Roman" w:hAnsi="Times New Roman" w:cs="Times New Roman"/>
          <w:spacing w:val="0"/>
          <w:sz w:val="28"/>
          <w:szCs w:val="28"/>
          <w:lang w:val="en-US" w:eastAsia="zh-CN"/>
        </w:rPr>
        <w:t xml:space="preserve">     </w:t>
      </w:r>
      <w:r>
        <w:rPr>
          <w:rFonts w:hint="default" w:ascii="Times New Roman" w:hAnsi="Times New Roman" w:eastAsia="方正仿宋_GBK" w:cs="Times New Roman"/>
          <w:spacing w:val="0"/>
          <w:sz w:val="28"/>
          <w:szCs w:val="28"/>
          <w:lang w:val="en-US" w:eastAsia="zh-CN"/>
        </w:rPr>
        <w:t>2026年</w:t>
      </w:r>
      <w:r>
        <w:rPr>
          <w:rFonts w:hint="eastAsia" w:ascii="Times New Roman" w:hAnsi="Times New Roman" w:cs="Times New Roman"/>
          <w:spacing w:val="0"/>
          <w:sz w:val="28"/>
          <w:szCs w:val="28"/>
          <w:lang w:val="en-US" w:eastAsia="zh-CN"/>
        </w:rPr>
        <w:t>3</w:t>
      </w:r>
      <w:r>
        <w:rPr>
          <w:rFonts w:hint="default" w:ascii="Times New Roman" w:hAnsi="Times New Roman" w:eastAsia="方正仿宋_GBK" w:cs="Times New Roman"/>
          <w:spacing w:val="0"/>
          <w:sz w:val="28"/>
          <w:szCs w:val="28"/>
          <w:lang w:val="en-US" w:eastAsia="zh-CN"/>
        </w:rPr>
        <w:t>月</w:t>
      </w:r>
      <w:r>
        <w:rPr>
          <w:rFonts w:hint="eastAsia" w:ascii="Times New Roman" w:hAnsi="Times New Roman" w:cs="Times New Roman"/>
          <w:spacing w:val="0"/>
          <w:sz w:val="28"/>
          <w:szCs w:val="28"/>
          <w:lang w:val="en-US" w:eastAsia="zh-CN"/>
        </w:rPr>
        <w:t>12</w:t>
      </w:r>
      <w:r>
        <w:rPr>
          <w:rFonts w:hint="default" w:ascii="Times New Roman" w:hAnsi="Times New Roman" w:eastAsia="方正仿宋_GBK" w:cs="Times New Roman"/>
          <w:spacing w:val="0"/>
          <w:sz w:val="28"/>
          <w:szCs w:val="28"/>
          <w:lang w:val="en-US" w:eastAsia="zh-CN"/>
        </w:rPr>
        <w:t>日</w:t>
      </w:r>
      <w:r>
        <w:rPr>
          <w:rFonts w:hint="eastAsia" w:ascii="Times New Roman" w:hAnsi="Times New Roman" w:eastAsia="方正仿宋_GBK" w:cs="Times New Roman"/>
          <w:spacing w:val="0"/>
          <w:sz w:val="28"/>
          <w:szCs w:val="28"/>
          <w:lang w:val="en-US" w:eastAsia="zh-CN"/>
        </w:rPr>
        <w:t>印发</w:t>
      </w:r>
    </w:p>
    <w:sectPr>
      <w:pgSz w:w="11906" w:h="16838"/>
      <w:pgMar w:top="1984" w:right="1446" w:bottom="1644" w:left="1446"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1" w:fontKey="{96461F50-1644-41ED-B6C6-9E937DF1C644}"/>
  </w:font>
  <w:font w:name="方正小标宋简体">
    <w:altName w:val="黑体"/>
    <w:panose1 w:val="02000000000000000000"/>
    <w:charset w:val="86"/>
    <w:family w:val="auto"/>
    <w:pitch w:val="default"/>
    <w:sig w:usb0="00000000" w:usb1="00000000" w:usb2="00000012" w:usb3="00000000" w:csb0="00040001" w:csb1="00000000"/>
    <w:embedRegular r:id="rId2" w:fontKey="{03E58699-4B56-4C0A-ABA2-B54D44D34309}"/>
  </w:font>
  <w:font w:name="方正小标宋_GBK">
    <w:panose1 w:val="03000509000000000000"/>
    <w:charset w:val="86"/>
    <w:family w:val="auto"/>
    <w:pitch w:val="default"/>
    <w:sig w:usb0="00000001" w:usb1="080E0000" w:usb2="00000000" w:usb3="00000000" w:csb0="00040000" w:csb1="00000000"/>
    <w:embedRegular r:id="rId3" w:fontKey="{8F8D2B35-2019-46E9-87BB-724BEBF4A94E}"/>
  </w:font>
  <w:font w:name="方正仿宋_GBK">
    <w:panose1 w:val="03000509000000000000"/>
    <w:charset w:val="86"/>
    <w:family w:val="auto"/>
    <w:pitch w:val="default"/>
    <w:sig w:usb0="00000001" w:usb1="080E0000" w:usb2="00000000" w:usb3="00000000" w:csb0="00040000" w:csb1="00000000"/>
    <w:embedRegular r:id="rId4" w:fontKey="{2687BE89-C5ED-4289-81C9-A52D00D5F4B0}"/>
  </w:font>
  <w:font w:name="方正楷体_GBK">
    <w:panose1 w:val="03000509000000000000"/>
    <w:charset w:val="86"/>
    <w:family w:val="auto"/>
    <w:pitch w:val="default"/>
    <w:sig w:usb0="00000001" w:usb1="080E0000" w:usb2="00000000" w:usb3="00000000" w:csb0="00040000" w:csb1="00000000"/>
    <w:embedRegular r:id="rId5" w:fontKey="{23C1B811-DC83-4F57-B86C-4784DC54247B}"/>
  </w:font>
  <w:font w:name="华文中宋">
    <w:panose1 w:val="02010600040101010101"/>
    <w:charset w:val="86"/>
    <w:family w:val="auto"/>
    <w:pitch w:val="default"/>
    <w:sig w:usb0="00000287" w:usb1="080F0000" w:usb2="00000000" w:usb3="00000000" w:csb0="0004009F" w:csb1="DFD70000"/>
    <w:embedRegular r:id="rId6" w:fontKey="{B60C2D5B-2D8B-4B87-9B8A-825492354229}"/>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000000"/>
    <w:rsid w:val="01D45C7C"/>
    <w:rsid w:val="03A87FF6"/>
    <w:rsid w:val="04511CDD"/>
    <w:rsid w:val="066B648F"/>
    <w:rsid w:val="0ABB5878"/>
    <w:rsid w:val="0B711663"/>
    <w:rsid w:val="0BD95485"/>
    <w:rsid w:val="0F5B05E7"/>
    <w:rsid w:val="0FFB485C"/>
    <w:rsid w:val="11412EAA"/>
    <w:rsid w:val="126B62B7"/>
    <w:rsid w:val="1289460F"/>
    <w:rsid w:val="14257702"/>
    <w:rsid w:val="161B7B46"/>
    <w:rsid w:val="162D3878"/>
    <w:rsid w:val="194A13B4"/>
    <w:rsid w:val="19A95D61"/>
    <w:rsid w:val="1B325161"/>
    <w:rsid w:val="1BA452A5"/>
    <w:rsid w:val="1BDA6AC7"/>
    <w:rsid w:val="1C7224BE"/>
    <w:rsid w:val="1EB37DB8"/>
    <w:rsid w:val="200C6370"/>
    <w:rsid w:val="21D529F9"/>
    <w:rsid w:val="22313234"/>
    <w:rsid w:val="244337D9"/>
    <w:rsid w:val="271433BD"/>
    <w:rsid w:val="27334F92"/>
    <w:rsid w:val="31540F86"/>
    <w:rsid w:val="32226FF0"/>
    <w:rsid w:val="38E2156D"/>
    <w:rsid w:val="42E211DB"/>
    <w:rsid w:val="43041806"/>
    <w:rsid w:val="43514AF1"/>
    <w:rsid w:val="43D63A7D"/>
    <w:rsid w:val="45034D45"/>
    <w:rsid w:val="45494580"/>
    <w:rsid w:val="47BC5113"/>
    <w:rsid w:val="47FB222A"/>
    <w:rsid w:val="48706FBC"/>
    <w:rsid w:val="48984CB4"/>
    <w:rsid w:val="4DDA23BB"/>
    <w:rsid w:val="4FB64F58"/>
    <w:rsid w:val="5298443C"/>
    <w:rsid w:val="53152294"/>
    <w:rsid w:val="5727035B"/>
    <w:rsid w:val="587F294D"/>
    <w:rsid w:val="5DF815F7"/>
    <w:rsid w:val="5F0D3B2A"/>
    <w:rsid w:val="610145CE"/>
    <w:rsid w:val="63673820"/>
    <w:rsid w:val="642E74E2"/>
    <w:rsid w:val="64362715"/>
    <w:rsid w:val="6AED1528"/>
    <w:rsid w:val="6B6F5377"/>
    <w:rsid w:val="6E2F4EA0"/>
    <w:rsid w:val="716C48B9"/>
    <w:rsid w:val="73AB26DD"/>
    <w:rsid w:val="743710C9"/>
    <w:rsid w:val="746E2840"/>
    <w:rsid w:val="765661D4"/>
    <w:rsid w:val="77005500"/>
    <w:rsid w:val="78DD47D4"/>
    <w:rsid w:val="79B35747"/>
    <w:rsid w:val="7A2C2EBE"/>
    <w:rsid w:val="ADEF8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640" w:firstLineChars="200"/>
    </w:pPr>
    <w:rPr>
      <w:rFonts w:ascii="仿宋_GB2312" w:eastAsia="仿宋_GB2312"/>
      <w:sz w:val="32"/>
    </w:rPr>
  </w:style>
  <w:style w:type="paragraph" w:styleId="4">
    <w:name w:val="Body Text Indent 2"/>
    <w:basedOn w:val="1"/>
    <w:unhideWhenUsed/>
    <w:qFormat/>
    <w:uiPriority w:val="99"/>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styleId="1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3949</Words>
  <Characters>4182</Characters>
  <Lines>0</Lines>
  <Paragraphs>0</Paragraphs>
  <TotalTime>0</TotalTime>
  <ScaleCrop>false</ScaleCrop>
  <LinksUpToDate>false</LinksUpToDate>
  <CharactersWithSpaces>4258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2026-02-26T16:33:00Z</dcterms:created>
  <dc:creator>Administrator</dc:creator>
  <cp:lastModifiedBy>冉浩田</cp:lastModifiedBy>
  <dcterms:modified xsi:type="dcterms:W3CDTF">2026-03-12T09:54:39Z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9DC70D970DD1452791B601B0F6B450D6</vt:lpwstr>
  </property>
  <property fmtid="{D5CDD505-2E9C-101B-9397-08002B2CF9AE}" pid="4" name="KSOTemplateDocerSaveRecord">
    <vt:lpwstr>eyJoZGlkIjoiMmFlNWZkNmU3ZDkxZTZmMmY1MjRlMmRjZGM1YTUyNjEiLCJ1c2VySWQiOiIxNjQxNTMyNDUyIn0=</vt:lpwstr>
  </property>
</Properties>
</file>