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spacing w:line="500" w:lineRule="exact"/>
        <w:ind w:firstLine="3360"/>
      </w:pPr>
      <w:bookmarkStart w:id="0" w:name="_GoBack"/>
      <w:bookmarkEnd w:id="0"/>
    </w:p>
    <w:p>
      <w:pPr>
        <w:overflowPunct w:val="0"/>
        <w:spacing w:line="540" w:lineRule="exact"/>
        <w:ind w:firstLine="3360"/>
      </w:pPr>
    </w:p>
    <w:p>
      <w:pPr>
        <w:overflowPunct w:val="0"/>
        <w:spacing w:line="540" w:lineRule="exact"/>
        <w:ind w:firstLine="3360"/>
      </w:pPr>
    </w:p>
    <w:p>
      <w:pPr>
        <w:overflowPunct w:val="0"/>
        <w:spacing w:line="540" w:lineRule="exact"/>
        <w:ind w:firstLine="3360"/>
      </w:pPr>
    </w:p>
    <w:p>
      <w:pPr>
        <w:tabs>
          <w:tab w:val="left" w:pos="360"/>
          <w:tab w:val="left" w:pos="8460"/>
        </w:tabs>
        <w:overflowPunct w:val="0"/>
        <w:spacing w:line="1200" w:lineRule="exact"/>
        <w:jc w:val="center"/>
        <w:rPr>
          <w:rFonts w:eastAsia="方正小标宋_GBK"/>
          <w:b/>
          <w:bCs/>
          <w:color w:val="FF0000"/>
          <w:spacing w:val="60"/>
          <w:w w:val="40"/>
          <w:sz w:val="120"/>
          <w:szCs w:val="120"/>
        </w:rPr>
      </w:pPr>
      <w:r>
        <w:rPr>
          <w:rFonts w:eastAsia="方正小标宋_GBK"/>
          <w:b/>
          <w:bCs/>
          <w:color w:val="FF0000"/>
          <w:spacing w:val="60"/>
          <w:w w:val="40"/>
          <w:sz w:val="120"/>
          <w:szCs w:val="120"/>
        </w:rPr>
        <w:t>重庆市开州区</w:t>
      </w:r>
      <w:r>
        <w:rPr>
          <w:rFonts w:hint="eastAsia" w:eastAsia="方正小标宋_GBK"/>
          <w:b/>
          <w:bCs/>
          <w:color w:val="FF0000"/>
          <w:spacing w:val="60"/>
          <w:w w:val="40"/>
          <w:sz w:val="120"/>
          <w:szCs w:val="120"/>
        </w:rPr>
        <w:t>教育服务中心文件</w:t>
      </w:r>
    </w:p>
    <w:p>
      <w:pPr>
        <w:overflowPunct w:val="0"/>
        <w:spacing w:line="680" w:lineRule="exact"/>
        <w:ind w:firstLine="3019"/>
        <w:jc w:val="center"/>
        <w:rPr>
          <w:color w:val="FFFFFF"/>
          <w:w w:val="90"/>
        </w:rPr>
      </w:pPr>
    </w:p>
    <w:p>
      <w:pPr>
        <w:overflowPunct w:val="0"/>
        <w:spacing w:line="600" w:lineRule="exact"/>
        <w:jc w:val="center"/>
        <w:rPr>
          <w:rFonts w:hint="eastAsia" w:ascii="方正楷体_GBK" w:eastAsia="方正楷体_GBK"/>
          <w:sz w:val="32"/>
          <w:szCs w:val="32"/>
        </w:rPr>
      </w:pPr>
      <w:r>
        <w:rPr>
          <w:rFonts w:eastAsia="方正仿宋_GBK"/>
          <w:sz w:val="32"/>
          <w:szCs w:val="32"/>
        </w:rPr>
        <w:t>开州教</w:t>
      </w:r>
      <w:r>
        <w:rPr>
          <w:rFonts w:hint="eastAsia" w:eastAsia="方正仿宋_GBK"/>
          <w:sz w:val="32"/>
          <w:szCs w:val="32"/>
        </w:rPr>
        <w:t>服</w:t>
      </w:r>
      <w:r>
        <w:rPr>
          <w:rFonts w:eastAsia="方正仿宋_GBK"/>
          <w:sz w:val="32"/>
          <w:szCs w:val="32"/>
        </w:rPr>
        <w:t>〔2024〕1号</w:t>
      </w:r>
      <w:r>
        <w:rPr>
          <w:rFonts w:hint="eastAsia" w:eastAsia="方正仿宋_GBK"/>
          <w:sz w:val="32"/>
          <w:szCs w:val="32"/>
        </w:rPr>
        <w:t xml:space="preserve">                   </w:t>
      </w:r>
      <w:r>
        <w:rPr>
          <w:rFonts w:eastAsia="方正仿宋_GBK"/>
          <w:sz w:val="32"/>
        </w:rPr>
        <w:t>签发人：</w:t>
      </w:r>
      <w:r>
        <w:rPr>
          <w:rFonts w:hint="eastAsia" w:ascii="方正楷体_GBK" w:eastAsia="方正楷体_GBK"/>
          <w:sz w:val="32"/>
        </w:rPr>
        <w:t>刘海泉</w:t>
      </w:r>
    </w:p>
    <w:p>
      <w:pPr>
        <w:overflowPunct w:val="0"/>
        <w:spacing w:line="600" w:lineRule="exact"/>
        <w:ind w:firstLine="3360"/>
        <w:jc w:val="center"/>
        <w:rPr>
          <w:color w:val="FFFFFF"/>
          <w:w w:val="90"/>
        </w:rPr>
      </w:pPr>
      <w:r>
        <mc:AlternateContent>
          <mc:Choice Requires="wps">
            <w:drawing>
              <wp:anchor distT="0" distB="0" distL="114300" distR="114300" simplePos="0" relativeHeight="251659264" behindDoc="0" locked="0" layoutInCell="1" allowOverlap="1">
                <wp:simplePos x="0" y="0"/>
                <wp:positionH relativeFrom="margin">
                  <wp:posOffset>-50800</wp:posOffset>
                </wp:positionH>
                <wp:positionV relativeFrom="paragraph">
                  <wp:posOffset>177165</wp:posOffset>
                </wp:positionV>
                <wp:extent cx="5831840" cy="0"/>
                <wp:effectExtent l="0" t="0" r="16510" b="19050"/>
                <wp:wrapNone/>
                <wp:docPr id="5" name="直接连接符 5"/>
                <wp:cNvGraphicFramePr/>
                <a:graphic xmlns:a="http://schemas.openxmlformats.org/drawingml/2006/main">
                  <a:graphicData uri="http://schemas.microsoft.com/office/word/2010/wordprocessingShape">
                    <wps:wsp>
                      <wps:cNvCnPr>
                        <a:cxnSpLocks noChangeShapeType="1"/>
                      </wps:cNvCnPr>
                      <wps:spPr bwMode="auto">
                        <a:xfrm>
                          <a:off x="0" y="0"/>
                          <a:ext cx="5831840" cy="0"/>
                        </a:xfrm>
                        <a:prstGeom prst="line">
                          <a:avLst/>
                        </a:prstGeom>
                        <a:noFill/>
                        <a:ln w="19050">
                          <a:solidFill>
                            <a:srgbClr val="FF0000"/>
                          </a:solidFill>
                          <a:round/>
                        </a:ln>
                        <a:effectLst/>
                      </wps:spPr>
                      <wps:bodyPr/>
                    </wps:wsp>
                  </a:graphicData>
                </a:graphic>
              </wp:anchor>
            </w:drawing>
          </mc:Choice>
          <mc:Fallback>
            <w:pict>
              <v:line id="_x0000_s1026" o:spid="_x0000_s1026" o:spt="20" style="position:absolute;left:0pt;margin-left:-4pt;margin-top:13.95pt;height:0pt;width:459.2pt;mso-position-horizontal-relative:margin;z-index:251659264;mso-width-relative:page;mso-height-relative:page;" filled="f" stroked="t" coordsize="21600,21600" o:gfxdata="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Bp&#10;3v6P2AAAAAgBAAAPAAAAAAAAAAEAIAAAACIAAABkcnMvZG93bnJldi54bWxQSwECFAAUAAAACACH&#10;TuJAzaCzFOsBAAC5AwAADgAAAAAAAAABACAAAAAnAQAAZHJzL2Uyb0RvYy54bWxQSwUGAAAAAAYA&#10;BgBZAQAAhAUAAAAA&#10;">
                <v:fill on="f" focussize="0,0"/>
                <v:stroke weight="1.5pt" color="#FF0000" joinstyle="round"/>
                <v:imagedata o:title=""/>
                <o:lock v:ext="edit" aspectratio="f"/>
              </v:line>
            </w:pict>
          </mc:Fallback>
        </mc:AlternateContent>
      </w:r>
    </w:p>
    <w:p>
      <w:pPr>
        <w:spacing w:line="600" w:lineRule="exact"/>
        <w:jc w:val="center"/>
        <w:rPr>
          <w:rFonts w:eastAsia="方正小标宋简体"/>
          <w:sz w:val="44"/>
          <w:szCs w:val="44"/>
        </w:rPr>
      </w:pPr>
    </w:p>
    <w:p>
      <w:pPr>
        <w:pStyle w:val="2"/>
        <w:spacing w:line="600" w:lineRule="exact"/>
        <w:ind w:firstLine="0" w:firstLineChars="0"/>
        <w:jc w:val="center"/>
        <w:rPr>
          <w:rFonts w:ascii="Times New Roman" w:eastAsia="方正小标宋_GBK"/>
          <w:szCs w:val="32"/>
        </w:rPr>
      </w:pPr>
      <w:r>
        <w:rPr>
          <w:rFonts w:ascii="Times New Roman" w:eastAsia="方正小标宋_GBK"/>
          <w:color w:val="000000"/>
          <w:sz w:val="44"/>
          <w:szCs w:val="44"/>
        </w:rPr>
        <w:t>重庆市开州区</w:t>
      </w:r>
      <w:r>
        <w:rPr>
          <w:rFonts w:hint="eastAsia" w:ascii="Times New Roman" w:eastAsia="方正小标宋_GBK"/>
          <w:color w:val="000000"/>
          <w:sz w:val="44"/>
          <w:szCs w:val="44"/>
        </w:rPr>
        <w:t>教育服务中心</w:t>
      </w:r>
    </w:p>
    <w:p>
      <w:pPr>
        <w:spacing w:line="600" w:lineRule="exact"/>
        <w:jc w:val="center"/>
        <w:rPr>
          <w:rFonts w:eastAsia="方正小标宋_GBK"/>
          <w:sz w:val="44"/>
          <w:szCs w:val="44"/>
        </w:rPr>
      </w:pPr>
      <w:r>
        <w:rPr>
          <w:rFonts w:eastAsia="方正小标宋_GBK"/>
          <w:sz w:val="44"/>
          <w:szCs w:val="44"/>
        </w:rPr>
        <w:t>关于2024年部门预算情况公开的公告</w:t>
      </w:r>
    </w:p>
    <w:p>
      <w:pPr>
        <w:spacing w:line="600" w:lineRule="exact"/>
        <w:jc w:val="center"/>
        <w:rPr>
          <w:rFonts w:eastAsia="方正小标宋_GBK"/>
          <w:sz w:val="44"/>
          <w:szCs w:val="44"/>
        </w:rPr>
      </w:pPr>
    </w:p>
    <w:p>
      <w:pPr>
        <w:spacing w:line="600" w:lineRule="exact"/>
        <w:ind w:firstLine="640" w:firstLineChars="200"/>
        <w:rPr>
          <w:rFonts w:eastAsia="方正仿宋_GBK"/>
          <w:sz w:val="32"/>
          <w:szCs w:val="32"/>
        </w:rPr>
      </w:pPr>
      <w:r>
        <w:rPr>
          <w:rFonts w:eastAsia="方正仿宋_GBK"/>
          <w:sz w:val="32"/>
          <w:szCs w:val="32"/>
        </w:rPr>
        <w:t>按照有关财政预算公开的部署和要求，依据《中华人民共和国政府信息公开条例》（国务院令第492号）</w:t>
      </w:r>
      <w:r>
        <w:rPr>
          <w:rFonts w:hint="eastAsia" w:eastAsia="方正仿宋_GBK"/>
          <w:sz w:val="32"/>
          <w:szCs w:val="32"/>
        </w:rPr>
        <w:t>、重庆市开州区财政局</w:t>
      </w:r>
      <w:r>
        <w:rPr>
          <w:rFonts w:eastAsia="方正仿宋_GBK"/>
          <w:sz w:val="32"/>
          <w:szCs w:val="32"/>
        </w:rPr>
        <w:t>《关于批复2024年</w:t>
      </w:r>
      <w:r>
        <w:rPr>
          <w:rFonts w:hint="eastAsia" w:eastAsia="方正仿宋_GBK"/>
          <w:sz w:val="32"/>
          <w:szCs w:val="32"/>
        </w:rPr>
        <w:t>区级</w:t>
      </w:r>
      <w:r>
        <w:rPr>
          <w:rFonts w:eastAsia="方正仿宋_GBK"/>
          <w:sz w:val="32"/>
          <w:szCs w:val="32"/>
        </w:rPr>
        <w:t>部门预算的通知》（</w:t>
      </w:r>
      <w:r>
        <w:rPr>
          <w:rFonts w:hint="eastAsia" w:eastAsia="方正仿宋_GBK"/>
          <w:sz w:val="32"/>
          <w:szCs w:val="32"/>
        </w:rPr>
        <w:t>开州财教发</w:t>
      </w:r>
      <w:r>
        <w:rPr>
          <w:rFonts w:eastAsia="方正仿宋_GBK"/>
          <w:sz w:val="32"/>
          <w:szCs w:val="32"/>
        </w:rPr>
        <w:t>〔2024〕10号）</w:t>
      </w:r>
      <w:r>
        <w:rPr>
          <w:rFonts w:hint="eastAsia" w:eastAsia="方正仿宋_GBK"/>
          <w:sz w:val="32"/>
          <w:szCs w:val="32"/>
        </w:rPr>
        <w:t>及重庆市开州区教育委员会</w:t>
      </w:r>
      <w:r>
        <w:rPr>
          <w:rFonts w:eastAsia="方正仿宋_GBK"/>
          <w:sz w:val="32"/>
          <w:szCs w:val="32"/>
        </w:rPr>
        <w:t>《关于批复2024年部门预算的通知》（</w:t>
      </w:r>
      <w:r>
        <w:rPr>
          <w:rFonts w:hint="eastAsia" w:eastAsia="方正仿宋_GBK"/>
          <w:sz w:val="32"/>
          <w:szCs w:val="32"/>
        </w:rPr>
        <w:t>开州教财</w:t>
      </w:r>
      <w:r>
        <w:rPr>
          <w:rFonts w:eastAsia="方正仿宋_GBK"/>
          <w:sz w:val="32"/>
          <w:szCs w:val="32"/>
        </w:rPr>
        <w:t>〔2024〕3号）</w:t>
      </w:r>
      <w:r>
        <w:rPr>
          <w:rFonts w:hint="eastAsia" w:eastAsia="方正仿宋_GBK"/>
          <w:sz w:val="32"/>
          <w:szCs w:val="32"/>
        </w:rPr>
        <w:t>要求</w:t>
      </w:r>
      <w:r>
        <w:rPr>
          <w:rFonts w:eastAsia="方正仿宋_GBK"/>
          <w:sz w:val="32"/>
          <w:szCs w:val="32"/>
        </w:rPr>
        <w:t>,现将</w:t>
      </w:r>
      <w:r>
        <w:rPr>
          <w:rFonts w:hint="eastAsia" w:eastAsia="方正仿宋_GBK"/>
          <w:sz w:val="32"/>
          <w:szCs w:val="32"/>
        </w:rPr>
        <w:t>重庆市开州区教育服务中心</w:t>
      </w:r>
      <w:r>
        <w:rPr>
          <w:rFonts w:eastAsia="方正仿宋_GBK"/>
          <w:sz w:val="32"/>
          <w:szCs w:val="32"/>
        </w:rPr>
        <w:t>2024年部门预算批复情况公开如下：</w:t>
      </w:r>
    </w:p>
    <w:p>
      <w:pPr>
        <w:spacing w:line="560" w:lineRule="exact"/>
        <w:jc w:val="center"/>
        <w:rPr>
          <w:rFonts w:ascii="方正小标宋_GBK" w:eastAsia="方正小标宋_GBK"/>
          <w:sz w:val="44"/>
          <w:szCs w:val="44"/>
        </w:rPr>
      </w:pPr>
      <w:r>
        <w:rPr>
          <w:rFonts w:eastAsia="方正仿宋_GBK"/>
          <w:sz w:val="32"/>
          <w:szCs w:val="32"/>
        </w:rPr>
        <w:br w:type="page"/>
      </w:r>
      <w:r>
        <w:rPr>
          <w:rFonts w:hint="eastAsia" w:ascii="方正小标宋_GBK" w:eastAsia="方正小标宋_GBK"/>
          <w:sz w:val="44"/>
          <w:szCs w:val="44"/>
        </w:rPr>
        <w:t>目   录</w:t>
      </w:r>
    </w:p>
    <w:p>
      <w:pPr>
        <w:spacing w:line="480" w:lineRule="exact"/>
      </w:pPr>
    </w:p>
    <w:p>
      <w:pPr>
        <w:spacing w:line="560" w:lineRule="exact"/>
        <w:jc w:val="center"/>
        <w:rPr>
          <w:rFonts w:eastAsia="方正楷体_GBK"/>
          <w:sz w:val="32"/>
          <w:szCs w:val="32"/>
        </w:rPr>
      </w:pPr>
      <w:r>
        <w:rPr>
          <w:rFonts w:eastAsia="方正楷体_GBK"/>
          <w:sz w:val="32"/>
          <w:szCs w:val="32"/>
        </w:rPr>
        <w:t>第一部分：2024年部门预算情况说明</w:t>
      </w:r>
    </w:p>
    <w:p>
      <w:pPr>
        <w:spacing w:line="480" w:lineRule="exact"/>
      </w:pPr>
    </w:p>
    <w:p>
      <w:pPr>
        <w:spacing w:line="560" w:lineRule="exact"/>
        <w:rPr>
          <w:rFonts w:eastAsia="方正仿宋_GBK"/>
          <w:sz w:val="32"/>
          <w:szCs w:val="32"/>
        </w:rPr>
      </w:pPr>
      <w:r>
        <w:rPr>
          <w:rFonts w:eastAsia="方正仿宋_GBK"/>
          <w:sz w:val="32"/>
          <w:szCs w:val="32"/>
        </w:rPr>
        <w:t>一、单位基本情况</w:t>
      </w:r>
    </w:p>
    <w:p>
      <w:pPr>
        <w:spacing w:line="560" w:lineRule="exact"/>
        <w:rPr>
          <w:rFonts w:eastAsia="方正仿宋_GBK"/>
          <w:sz w:val="32"/>
          <w:szCs w:val="32"/>
        </w:rPr>
      </w:pPr>
      <w:r>
        <w:rPr>
          <w:rFonts w:eastAsia="方正仿宋_GBK"/>
          <w:sz w:val="32"/>
          <w:szCs w:val="32"/>
        </w:rPr>
        <w:t>二、部门收支总体情况</w:t>
      </w:r>
    </w:p>
    <w:p>
      <w:pPr>
        <w:spacing w:line="560" w:lineRule="exact"/>
        <w:rPr>
          <w:rFonts w:eastAsia="方正仿宋_GBK"/>
          <w:sz w:val="32"/>
          <w:szCs w:val="32"/>
        </w:rPr>
      </w:pPr>
      <w:r>
        <w:rPr>
          <w:rFonts w:eastAsia="方正仿宋_GBK"/>
          <w:sz w:val="32"/>
          <w:szCs w:val="32"/>
        </w:rPr>
        <w:t>三、部门预算情况说明</w:t>
      </w:r>
    </w:p>
    <w:p>
      <w:pPr>
        <w:spacing w:line="560" w:lineRule="exact"/>
        <w:rPr>
          <w:rFonts w:eastAsia="方正仿宋_GBK"/>
          <w:sz w:val="32"/>
          <w:szCs w:val="32"/>
        </w:rPr>
      </w:pPr>
      <w:r>
        <w:rPr>
          <w:rFonts w:eastAsia="方正仿宋_GBK"/>
          <w:sz w:val="32"/>
          <w:szCs w:val="32"/>
        </w:rPr>
        <w:t>四、</w:t>
      </w:r>
      <w:r>
        <w:rPr>
          <w:rFonts w:hint="eastAsia" w:ascii="方正仿宋_GBK" w:eastAsia="方正仿宋_GBK"/>
          <w:sz w:val="32"/>
          <w:szCs w:val="32"/>
        </w:rPr>
        <w:t>“三公”经费</w:t>
      </w:r>
      <w:r>
        <w:rPr>
          <w:rFonts w:eastAsia="方正仿宋_GBK"/>
          <w:sz w:val="32"/>
          <w:szCs w:val="32"/>
        </w:rPr>
        <w:t>情况说明</w:t>
      </w:r>
    </w:p>
    <w:p>
      <w:pPr>
        <w:spacing w:line="560" w:lineRule="exact"/>
        <w:rPr>
          <w:rFonts w:eastAsia="方正仿宋_GBK"/>
          <w:sz w:val="32"/>
          <w:szCs w:val="32"/>
        </w:rPr>
      </w:pPr>
      <w:r>
        <w:rPr>
          <w:rFonts w:eastAsia="方正仿宋_GBK"/>
          <w:sz w:val="32"/>
          <w:szCs w:val="32"/>
        </w:rPr>
        <w:t>五、其他重要事项的情况说明</w:t>
      </w:r>
    </w:p>
    <w:p>
      <w:pPr>
        <w:spacing w:line="560" w:lineRule="exact"/>
        <w:rPr>
          <w:rFonts w:eastAsia="方正仿宋_GBK"/>
          <w:sz w:val="32"/>
          <w:szCs w:val="32"/>
        </w:rPr>
      </w:pPr>
      <w:r>
        <w:rPr>
          <w:rFonts w:eastAsia="方正仿宋_GBK"/>
          <w:sz w:val="32"/>
          <w:szCs w:val="32"/>
        </w:rPr>
        <w:t>六、专业性名词解释</w:t>
      </w:r>
    </w:p>
    <w:p>
      <w:pPr>
        <w:spacing w:line="480" w:lineRule="exact"/>
        <w:rPr>
          <w:rFonts w:eastAsia="方正仿宋_GBK"/>
          <w:sz w:val="32"/>
          <w:szCs w:val="32"/>
        </w:rPr>
      </w:pPr>
    </w:p>
    <w:p>
      <w:pPr>
        <w:spacing w:line="560" w:lineRule="exact"/>
        <w:jc w:val="center"/>
      </w:pPr>
      <w:r>
        <w:rPr>
          <w:rFonts w:eastAsia="方正楷体_GBK"/>
          <w:sz w:val="32"/>
          <w:szCs w:val="32"/>
        </w:rPr>
        <w:t>第二部分：2024年部门预算</w:t>
      </w:r>
      <w:r>
        <w:rPr>
          <w:rFonts w:hint="eastAsia" w:eastAsia="方正楷体_GBK"/>
          <w:sz w:val="32"/>
          <w:szCs w:val="32"/>
        </w:rPr>
        <w:t>公开报</w:t>
      </w:r>
      <w:r>
        <w:rPr>
          <w:rFonts w:eastAsia="方正楷体_GBK"/>
          <w:sz w:val="32"/>
          <w:szCs w:val="32"/>
        </w:rPr>
        <w:t>表</w:t>
      </w:r>
    </w:p>
    <w:p>
      <w:pPr>
        <w:spacing w:line="480" w:lineRule="exact"/>
      </w:pPr>
    </w:p>
    <w:p>
      <w:pPr>
        <w:spacing w:line="560" w:lineRule="exact"/>
        <w:rPr>
          <w:rFonts w:eastAsia="方正仿宋_GBK"/>
          <w:sz w:val="32"/>
          <w:szCs w:val="32"/>
        </w:rPr>
      </w:pPr>
      <w:r>
        <w:rPr>
          <w:rFonts w:eastAsia="方正仿宋_GBK"/>
          <w:sz w:val="32"/>
          <w:szCs w:val="32"/>
        </w:rPr>
        <w:t>表1、</w:t>
      </w:r>
      <w:r>
        <w:rPr>
          <w:rFonts w:hint="eastAsia" w:eastAsia="方正仿宋_GBK"/>
          <w:sz w:val="32"/>
          <w:szCs w:val="32"/>
        </w:rPr>
        <w:t>重庆市开州区教育服务中心收支预算总表</w:t>
      </w:r>
    </w:p>
    <w:p>
      <w:pPr>
        <w:spacing w:line="560" w:lineRule="exact"/>
        <w:rPr>
          <w:rFonts w:eastAsia="方正仿宋_GBK"/>
          <w:sz w:val="32"/>
          <w:szCs w:val="32"/>
        </w:rPr>
      </w:pPr>
      <w:r>
        <w:rPr>
          <w:rFonts w:eastAsia="方正仿宋_GBK"/>
          <w:sz w:val="32"/>
          <w:szCs w:val="32"/>
        </w:rPr>
        <w:t>表2、</w:t>
      </w:r>
      <w:r>
        <w:rPr>
          <w:rFonts w:hint="eastAsia" w:eastAsia="方正仿宋_GBK"/>
          <w:sz w:val="32"/>
          <w:szCs w:val="32"/>
        </w:rPr>
        <w:t>重庆市开州区教育服务中心</w:t>
      </w:r>
      <w:r>
        <w:rPr>
          <w:rFonts w:eastAsia="方正仿宋_GBK"/>
          <w:sz w:val="32"/>
          <w:szCs w:val="32"/>
        </w:rPr>
        <w:t>收入总表</w:t>
      </w:r>
    </w:p>
    <w:p>
      <w:pPr>
        <w:spacing w:line="560" w:lineRule="exact"/>
        <w:rPr>
          <w:rFonts w:eastAsia="方正仿宋_GBK"/>
          <w:sz w:val="32"/>
          <w:szCs w:val="32"/>
        </w:rPr>
      </w:pPr>
      <w:r>
        <w:rPr>
          <w:rFonts w:eastAsia="方正仿宋_GBK"/>
          <w:sz w:val="32"/>
          <w:szCs w:val="32"/>
        </w:rPr>
        <w:t>表3、</w:t>
      </w:r>
      <w:r>
        <w:rPr>
          <w:rFonts w:hint="eastAsia" w:eastAsia="方正仿宋_GBK"/>
          <w:sz w:val="32"/>
          <w:szCs w:val="32"/>
        </w:rPr>
        <w:t>重庆市开州区教育服务中心本年</w:t>
      </w:r>
      <w:r>
        <w:rPr>
          <w:rFonts w:eastAsia="方正仿宋_GBK"/>
          <w:sz w:val="32"/>
          <w:szCs w:val="32"/>
        </w:rPr>
        <w:t>支出</w:t>
      </w:r>
      <w:r>
        <w:rPr>
          <w:rFonts w:hint="eastAsia" w:eastAsia="方正仿宋_GBK"/>
          <w:sz w:val="32"/>
          <w:szCs w:val="32"/>
        </w:rPr>
        <w:t>预算总</w:t>
      </w:r>
      <w:r>
        <w:rPr>
          <w:rFonts w:eastAsia="方正仿宋_GBK"/>
          <w:sz w:val="32"/>
          <w:szCs w:val="32"/>
        </w:rPr>
        <w:t>表</w:t>
      </w:r>
    </w:p>
    <w:p>
      <w:pPr>
        <w:spacing w:line="560" w:lineRule="exact"/>
        <w:rPr>
          <w:rFonts w:eastAsia="方正仿宋_GBK"/>
          <w:sz w:val="32"/>
          <w:szCs w:val="32"/>
        </w:rPr>
      </w:pPr>
      <w:r>
        <w:rPr>
          <w:rFonts w:eastAsia="方正仿宋_GBK"/>
          <w:sz w:val="32"/>
          <w:szCs w:val="32"/>
        </w:rPr>
        <w:t>表4、</w:t>
      </w:r>
      <w:r>
        <w:rPr>
          <w:rFonts w:hint="eastAsia" w:eastAsia="方正仿宋_GBK"/>
          <w:sz w:val="32"/>
          <w:szCs w:val="32"/>
        </w:rPr>
        <w:t>重庆市开州区教育服务中心</w:t>
      </w:r>
      <w:r>
        <w:rPr>
          <w:rFonts w:eastAsia="方正仿宋_GBK"/>
          <w:sz w:val="32"/>
          <w:szCs w:val="32"/>
        </w:rPr>
        <w:t>财政拨款收支</w:t>
      </w:r>
      <w:r>
        <w:rPr>
          <w:rFonts w:hint="eastAsia" w:eastAsia="方正仿宋_GBK"/>
          <w:sz w:val="32"/>
          <w:szCs w:val="32"/>
        </w:rPr>
        <w:t>预算总</w:t>
      </w:r>
      <w:r>
        <w:rPr>
          <w:rFonts w:eastAsia="方正仿宋_GBK"/>
          <w:sz w:val="32"/>
          <w:szCs w:val="32"/>
        </w:rPr>
        <w:t>表</w:t>
      </w:r>
    </w:p>
    <w:p>
      <w:pPr>
        <w:spacing w:line="560" w:lineRule="exact"/>
        <w:rPr>
          <w:rFonts w:eastAsia="方正仿宋_GBK"/>
          <w:sz w:val="32"/>
          <w:szCs w:val="32"/>
        </w:rPr>
      </w:pPr>
      <w:r>
        <w:rPr>
          <w:rFonts w:eastAsia="方正仿宋_GBK"/>
          <w:sz w:val="32"/>
          <w:szCs w:val="32"/>
        </w:rPr>
        <w:t>表5、</w:t>
      </w:r>
      <w:r>
        <w:rPr>
          <w:rFonts w:hint="eastAsia" w:eastAsia="方正仿宋_GBK"/>
          <w:sz w:val="32"/>
          <w:szCs w:val="32"/>
        </w:rPr>
        <w:t>重庆市开州区教育服务中心本年</w:t>
      </w:r>
      <w:r>
        <w:rPr>
          <w:rFonts w:eastAsia="方正仿宋_GBK"/>
          <w:sz w:val="32"/>
          <w:szCs w:val="32"/>
        </w:rPr>
        <w:t>一般公共预算支出</w:t>
      </w:r>
      <w:r>
        <w:rPr>
          <w:rFonts w:hint="eastAsia" w:eastAsia="方正仿宋_GBK"/>
          <w:sz w:val="32"/>
          <w:szCs w:val="32"/>
        </w:rPr>
        <w:t>预算</w:t>
      </w:r>
      <w:r>
        <w:rPr>
          <w:rFonts w:eastAsia="方正仿宋_GBK"/>
          <w:sz w:val="32"/>
          <w:szCs w:val="32"/>
        </w:rPr>
        <w:t>表</w:t>
      </w:r>
    </w:p>
    <w:p>
      <w:pPr>
        <w:spacing w:line="560" w:lineRule="exact"/>
        <w:rPr>
          <w:rFonts w:eastAsia="方正仿宋_GBK"/>
          <w:sz w:val="32"/>
          <w:szCs w:val="32"/>
        </w:rPr>
      </w:pPr>
      <w:r>
        <w:rPr>
          <w:rFonts w:eastAsia="方正仿宋_GBK"/>
          <w:sz w:val="32"/>
          <w:szCs w:val="32"/>
        </w:rPr>
        <w:t>表6、</w:t>
      </w:r>
      <w:r>
        <w:rPr>
          <w:rFonts w:hint="eastAsia" w:eastAsia="方正仿宋_GBK"/>
          <w:sz w:val="32"/>
          <w:szCs w:val="32"/>
        </w:rPr>
        <w:t>重庆市开州区教育服务中心</w:t>
      </w:r>
      <w:r>
        <w:rPr>
          <w:rFonts w:eastAsia="方正仿宋_GBK"/>
          <w:sz w:val="32"/>
          <w:szCs w:val="32"/>
        </w:rPr>
        <w:t>一般公共预算基本支出</w:t>
      </w:r>
      <w:r>
        <w:rPr>
          <w:rFonts w:hint="eastAsia" w:eastAsia="方正仿宋_GBK"/>
          <w:sz w:val="32"/>
          <w:szCs w:val="32"/>
        </w:rPr>
        <w:t>预算</w:t>
      </w:r>
      <w:r>
        <w:rPr>
          <w:rFonts w:eastAsia="方正仿宋_GBK"/>
          <w:sz w:val="32"/>
          <w:szCs w:val="32"/>
        </w:rPr>
        <w:t>表</w:t>
      </w:r>
    </w:p>
    <w:p>
      <w:pPr>
        <w:spacing w:line="560" w:lineRule="exact"/>
        <w:ind w:left="960" w:hanging="960" w:hangingChars="300"/>
        <w:rPr>
          <w:rFonts w:eastAsia="方正仿宋_GBK"/>
          <w:sz w:val="32"/>
          <w:szCs w:val="32"/>
        </w:rPr>
      </w:pPr>
      <w:r>
        <w:rPr>
          <w:rFonts w:eastAsia="方正仿宋_GBK"/>
          <w:sz w:val="32"/>
          <w:szCs w:val="32"/>
        </w:rPr>
        <w:t>表7、</w:t>
      </w:r>
      <w:r>
        <w:rPr>
          <w:rFonts w:hint="eastAsia" w:eastAsia="方正仿宋_GBK"/>
          <w:sz w:val="32"/>
          <w:szCs w:val="32"/>
        </w:rPr>
        <w:t>重庆市开州区教育服务中心</w:t>
      </w:r>
      <w:r>
        <w:rPr>
          <w:rFonts w:eastAsia="方正仿宋_GBK"/>
          <w:sz w:val="32"/>
          <w:szCs w:val="32"/>
        </w:rPr>
        <w:t>一般公共预</w:t>
      </w:r>
      <w:r>
        <w:rPr>
          <w:rFonts w:hint="eastAsia" w:eastAsia="方正仿宋_GBK"/>
          <w:sz w:val="32"/>
          <w:szCs w:val="32"/>
        </w:rPr>
        <w:t>算“三公”经费</w:t>
      </w:r>
      <w:r>
        <w:rPr>
          <w:rFonts w:eastAsia="方正仿宋_GBK"/>
          <w:sz w:val="32"/>
          <w:szCs w:val="32"/>
        </w:rPr>
        <w:t>支出</w:t>
      </w:r>
      <w:r>
        <w:rPr>
          <w:rFonts w:hint="eastAsia" w:eastAsia="方正仿宋_GBK"/>
          <w:sz w:val="32"/>
          <w:szCs w:val="32"/>
        </w:rPr>
        <w:t>预算</w:t>
      </w:r>
      <w:r>
        <w:rPr>
          <w:rFonts w:eastAsia="方正仿宋_GBK"/>
          <w:sz w:val="32"/>
          <w:szCs w:val="32"/>
        </w:rPr>
        <w:t>表</w:t>
      </w:r>
    </w:p>
    <w:p>
      <w:pPr>
        <w:spacing w:line="560" w:lineRule="exact"/>
        <w:rPr>
          <w:rFonts w:eastAsia="方正仿宋_GBK"/>
          <w:sz w:val="32"/>
          <w:szCs w:val="32"/>
        </w:rPr>
      </w:pPr>
      <w:r>
        <w:rPr>
          <w:rFonts w:eastAsia="方正仿宋_GBK"/>
          <w:sz w:val="32"/>
          <w:szCs w:val="32"/>
        </w:rPr>
        <w:t>表8、</w:t>
      </w:r>
      <w:r>
        <w:rPr>
          <w:rFonts w:hint="eastAsia" w:eastAsia="方正仿宋_GBK"/>
          <w:sz w:val="32"/>
          <w:szCs w:val="32"/>
        </w:rPr>
        <w:t>重庆市开州区教育服务中心</w:t>
      </w:r>
      <w:r>
        <w:rPr>
          <w:rFonts w:eastAsia="方正仿宋_GBK"/>
          <w:sz w:val="32"/>
          <w:szCs w:val="32"/>
        </w:rPr>
        <w:t>政府性基金预算支出</w:t>
      </w:r>
      <w:r>
        <w:rPr>
          <w:rFonts w:hint="eastAsia" w:eastAsia="方正仿宋_GBK"/>
          <w:sz w:val="32"/>
          <w:szCs w:val="32"/>
        </w:rPr>
        <w:t>预算</w:t>
      </w:r>
      <w:r>
        <w:rPr>
          <w:rFonts w:eastAsia="方正仿宋_GBK"/>
          <w:sz w:val="32"/>
          <w:szCs w:val="32"/>
        </w:rPr>
        <w:t>表</w:t>
      </w:r>
    </w:p>
    <w:p>
      <w:pPr>
        <w:spacing w:line="560" w:lineRule="exact"/>
        <w:rPr>
          <w:rFonts w:eastAsia="方正仿宋_GBK"/>
          <w:sz w:val="32"/>
          <w:szCs w:val="32"/>
        </w:rPr>
      </w:pPr>
      <w:r>
        <w:rPr>
          <w:rFonts w:eastAsia="方正仿宋_GBK"/>
          <w:sz w:val="32"/>
          <w:szCs w:val="32"/>
        </w:rPr>
        <w:t>表9、</w:t>
      </w:r>
      <w:r>
        <w:rPr>
          <w:rFonts w:hint="eastAsia" w:eastAsia="方正仿宋_GBK"/>
          <w:sz w:val="32"/>
          <w:szCs w:val="32"/>
        </w:rPr>
        <w:t>重庆市开州区教育服务中心</w:t>
      </w:r>
      <w:r>
        <w:rPr>
          <w:rFonts w:eastAsia="方正仿宋_GBK"/>
          <w:sz w:val="32"/>
          <w:szCs w:val="32"/>
        </w:rPr>
        <w:t>国有资本经营预算支出</w:t>
      </w:r>
      <w:r>
        <w:rPr>
          <w:rFonts w:hint="eastAsia" w:eastAsia="方正仿宋_GBK"/>
          <w:sz w:val="32"/>
          <w:szCs w:val="32"/>
        </w:rPr>
        <w:t>预算</w:t>
      </w:r>
      <w:r>
        <w:rPr>
          <w:rFonts w:eastAsia="方正仿宋_GBK"/>
          <w:sz w:val="32"/>
          <w:szCs w:val="32"/>
        </w:rPr>
        <w:t>表</w:t>
      </w:r>
    </w:p>
    <w:p>
      <w:pPr>
        <w:spacing w:line="560" w:lineRule="exact"/>
        <w:rPr>
          <w:rFonts w:eastAsia="方正仿宋_GBK"/>
          <w:sz w:val="32"/>
          <w:szCs w:val="32"/>
        </w:rPr>
      </w:pPr>
      <w:r>
        <w:rPr>
          <w:rFonts w:eastAsia="方正仿宋_GBK"/>
          <w:sz w:val="32"/>
          <w:szCs w:val="32"/>
        </w:rPr>
        <w:t>表10、</w:t>
      </w:r>
      <w:r>
        <w:rPr>
          <w:rFonts w:hint="eastAsia" w:eastAsia="方正仿宋_GBK"/>
          <w:sz w:val="32"/>
          <w:szCs w:val="32"/>
        </w:rPr>
        <w:t>重庆市开州区教育服务中心</w:t>
      </w:r>
      <w:r>
        <w:rPr>
          <w:rFonts w:eastAsia="方正仿宋_GBK"/>
          <w:sz w:val="32"/>
          <w:szCs w:val="32"/>
        </w:rPr>
        <w:t>项目支出表</w:t>
      </w:r>
    </w:p>
    <w:p>
      <w:pPr>
        <w:spacing w:line="600" w:lineRule="exact"/>
        <w:jc w:val="center"/>
        <w:rPr>
          <w:rFonts w:eastAsia="方正小标宋_GBK"/>
          <w:sz w:val="44"/>
          <w:szCs w:val="44"/>
        </w:rPr>
      </w:pPr>
      <w:r>
        <w:rPr>
          <w:rFonts w:hint="eastAsia" w:eastAsia="方正小标宋_GBK"/>
          <w:sz w:val="44"/>
          <w:szCs w:val="44"/>
        </w:rPr>
        <w:t>第一部分：</w:t>
      </w:r>
      <w:r>
        <w:rPr>
          <w:rFonts w:eastAsia="方正小标宋_GBK"/>
          <w:sz w:val="44"/>
          <w:szCs w:val="44"/>
        </w:rPr>
        <w:t>2024</w:t>
      </w:r>
      <w:r>
        <w:rPr>
          <w:rFonts w:hint="eastAsia" w:eastAsia="方正小标宋_GBK"/>
          <w:sz w:val="44"/>
          <w:szCs w:val="44"/>
        </w:rPr>
        <w:t>年部门预算情况说明</w:t>
      </w:r>
    </w:p>
    <w:p>
      <w:pPr>
        <w:spacing w:line="600" w:lineRule="exact"/>
        <w:ind w:firstLine="880" w:firstLineChars="200"/>
        <w:jc w:val="center"/>
        <w:rPr>
          <w:rFonts w:eastAsia="华文中宋"/>
          <w:sz w:val="44"/>
          <w:szCs w:val="44"/>
        </w:rPr>
      </w:pPr>
    </w:p>
    <w:p>
      <w:pPr>
        <w:overflowPunct w:val="0"/>
        <w:spacing w:line="600" w:lineRule="exact"/>
        <w:ind w:left="640"/>
        <w:rPr>
          <w:rFonts w:eastAsia="方正黑体_GBK"/>
          <w:sz w:val="32"/>
        </w:rPr>
      </w:pPr>
      <w:r>
        <w:rPr>
          <w:rFonts w:eastAsia="方正黑体_GBK"/>
          <w:sz w:val="32"/>
        </w:rPr>
        <w:t>一、单位基本情况</w:t>
      </w:r>
    </w:p>
    <w:p>
      <w:pPr>
        <w:pStyle w:val="5"/>
        <w:widowControl/>
        <w:shd w:val="clear" w:color="auto" w:fill="FFFFFF"/>
        <w:spacing w:beforeAutospacing="0" w:afterAutospacing="0" w:line="585" w:lineRule="atLeast"/>
        <w:ind w:firstLine="645"/>
        <w:jc w:val="both"/>
        <w:rPr>
          <w:rFonts w:ascii="微软雅黑" w:hAnsi="微软雅黑" w:eastAsia="微软雅黑" w:cs="微软雅黑"/>
          <w:color w:val="333333"/>
        </w:rPr>
      </w:pPr>
      <w:r>
        <w:rPr>
          <w:rFonts w:eastAsia="方正仿宋_GBK"/>
          <w:color w:val="333333"/>
          <w:sz w:val="31"/>
          <w:szCs w:val="31"/>
          <w:shd w:val="clear" w:color="auto" w:fill="FFFFFF"/>
        </w:rPr>
        <w:t>1</w:t>
      </w:r>
      <w:r>
        <w:rPr>
          <w:rFonts w:ascii="方正仿宋_GBK" w:hAnsi="方正仿宋_GBK" w:eastAsia="方正仿宋_GBK" w:cs="方正仿宋_GBK"/>
          <w:color w:val="333333"/>
          <w:sz w:val="31"/>
          <w:szCs w:val="31"/>
          <w:shd w:val="clear" w:color="auto" w:fill="FFFFFF"/>
        </w:rPr>
        <w:t>.</w:t>
      </w:r>
      <w:r>
        <w:rPr>
          <w:rFonts w:hint="eastAsia" w:ascii="方正仿宋_GBK" w:hAnsi="方正仿宋_GBK" w:eastAsia="方正仿宋_GBK" w:cs="方正仿宋_GBK"/>
          <w:color w:val="333333"/>
          <w:sz w:val="31"/>
          <w:szCs w:val="31"/>
          <w:shd w:val="clear" w:color="auto" w:fill="FFFFFF"/>
        </w:rPr>
        <w:t>指导全区学校后勤工作。指导和督促学校建立健全食品安全与营养健康相关管理制度、落实安全风险防控职责、开展营养健康教育。</w:t>
      </w:r>
    </w:p>
    <w:p>
      <w:pPr>
        <w:pStyle w:val="5"/>
        <w:widowControl/>
        <w:shd w:val="clear" w:color="auto" w:fill="FFFFFF"/>
        <w:spacing w:beforeAutospacing="0" w:afterAutospacing="0" w:line="585" w:lineRule="atLeast"/>
        <w:ind w:firstLine="645"/>
        <w:jc w:val="both"/>
        <w:rPr>
          <w:rFonts w:ascii="微软雅黑" w:hAnsi="微软雅黑" w:eastAsia="微软雅黑" w:cs="微软雅黑"/>
          <w:color w:val="333333"/>
        </w:rPr>
      </w:pPr>
      <w:r>
        <w:rPr>
          <w:rFonts w:eastAsia="方正仿宋_GBK"/>
          <w:color w:val="333333"/>
          <w:sz w:val="31"/>
          <w:szCs w:val="31"/>
          <w:shd w:val="clear" w:color="auto" w:fill="FFFFFF"/>
        </w:rPr>
        <w:t>2</w:t>
      </w:r>
      <w:r>
        <w:rPr>
          <w:rFonts w:hint="eastAsia" w:ascii="方正仿宋_GBK" w:hAnsi="方正仿宋_GBK" w:eastAsia="方正仿宋_GBK" w:cs="方正仿宋_GBK"/>
          <w:color w:val="333333"/>
          <w:sz w:val="31"/>
          <w:szCs w:val="31"/>
          <w:shd w:val="clear" w:color="auto" w:fill="FFFFFF"/>
        </w:rPr>
        <w:t>.指导、监督学校加强食品安全教育和日常管理，降低食品安全风险，及时消除食品安全隐患，提升营养健康水平，积极协助相关部门开展工作。</w:t>
      </w:r>
    </w:p>
    <w:p>
      <w:pPr>
        <w:pStyle w:val="5"/>
        <w:widowControl/>
        <w:shd w:val="clear" w:color="auto" w:fill="FFFFFF"/>
        <w:spacing w:beforeAutospacing="0" w:afterAutospacing="0" w:line="585" w:lineRule="atLeast"/>
        <w:ind w:firstLine="645"/>
        <w:jc w:val="both"/>
        <w:rPr>
          <w:rFonts w:ascii="微软雅黑" w:hAnsi="微软雅黑" w:eastAsia="微软雅黑" w:cs="微软雅黑"/>
          <w:color w:val="333333"/>
        </w:rPr>
      </w:pPr>
      <w:r>
        <w:rPr>
          <w:rFonts w:eastAsia="方正仿宋_GBK"/>
          <w:color w:val="333333"/>
          <w:sz w:val="31"/>
          <w:szCs w:val="31"/>
          <w:shd w:val="clear" w:color="auto" w:fill="FFFFFF"/>
        </w:rPr>
        <w:t>3</w:t>
      </w:r>
      <w:r>
        <w:rPr>
          <w:rFonts w:hint="eastAsia" w:ascii="方正仿宋_GBK" w:hAnsi="方正仿宋_GBK" w:eastAsia="方正仿宋_GBK" w:cs="方正仿宋_GBK"/>
          <w:color w:val="333333"/>
          <w:sz w:val="31"/>
          <w:szCs w:val="31"/>
          <w:shd w:val="clear" w:color="auto" w:fill="FFFFFF"/>
        </w:rPr>
        <w:t>.指导农村学校实施义务教育学生、学前教育儿童营养改善计划。</w:t>
      </w:r>
    </w:p>
    <w:p>
      <w:pPr>
        <w:pStyle w:val="5"/>
        <w:widowControl/>
        <w:shd w:val="clear" w:color="auto" w:fill="FFFFFF"/>
        <w:spacing w:beforeAutospacing="0" w:afterAutospacing="0" w:line="585" w:lineRule="atLeast"/>
        <w:ind w:firstLine="645"/>
        <w:jc w:val="both"/>
        <w:rPr>
          <w:rFonts w:ascii="微软雅黑" w:hAnsi="微软雅黑" w:eastAsia="微软雅黑" w:cs="微软雅黑"/>
          <w:color w:val="333333"/>
        </w:rPr>
      </w:pPr>
      <w:r>
        <w:rPr>
          <w:rFonts w:eastAsia="方正仿宋_GBK"/>
          <w:color w:val="333333"/>
          <w:sz w:val="31"/>
          <w:szCs w:val="31"/>
          <w:shd w:val="clear" w:color="auto" w:fill="FFFFFF"/>
        </w:rPr>
        <w:t>4</w:t>
      </w:r>
      <w:r>
        <w:rPr>
          <w:rFonts w:hint="eastAsia" w:ascii="方正仿宋_GBK" w:hAnsi="方正仿宋_GBK" w:eastAsia="方正仿宋_GBK" w:cs="方正仿宋_GBK"/>
          <w:color w:val="333333"/>
          <w:sz w:val="31"/>
          <w:szCs w:val="31"/>
          <w:shd w:val="clear" w:color="auto" w:fill="FFFFFF"/>
        </w:rPr>
        <w:t>.负责学校食堂管理人员培训，对学校食品安全与营养健康工作开展评价考核。</w:t>
      </w:r>
    </w:p>
    <w:p>
      <w:pPr>
        <w:pStyle w:val="5"/>
        <w:widowControl/>
        <w:shd w:val="clear" w:color="auto" w:fill="FFFFFF"/>
        <w:spacing w:beforeAutospacing="0" w:afterAutospacing="0" w:line="585" w:lineRule="atLeast"/>
        <w:ind w:firstLine="645"/>
        <w:jc w:val="both"/>
        <w:rPr>
          <w:rFonts w:ascii="微软雅黑" w:hAnsi="微软雅黑" w:eastAsia="微软雅黑" w:cs="微软雅黑"/>
          <w:color w:val="333333"/>
        </w:rPr>
      </w:pPr>
      <w:r>
        <w:rPr>
          <w:rFonts w:eastAsia="方正仿宋_GBK"/>
          <w:color w:val="333333"/>
          <w:sz w:val="31"/>
          <w:szCs w:val="31"/>
          <w:shd w:val="clear" w:color="auto" w:fill="FFFFFF"/>
        </w:rPr>
        <w:t>5</w:t>
      </w:r>
      <w:r>
        <w:rPr>
          <w:rFonts w:hint="eastAsia" w:ascii="方正仿宋_GBK" w:hAnsi="方正仿宋_GBK" w:eastAsia="方正仿宋_GBK" w:cs="方正仿宋_GBK"/>
          <w:color w:val="333333"/>
          <w:sz w:val="31"/>
          <w:szCs w:val="31"/>
          <w:shd w:val="clear" w:color="auto" w:fill="FFFFFF"/>
        </w:rPr>
        <w:t>.指导学校加强校园超市、学生宿舍、学生饮用水、学生校服等管理服务。</w:t>
      </w:r>
    </w:p>
    <w:p>
      <w:pPr>
        <w:pStyle w:val="5"/>
        <w:widowControl/>
        <w:shd w:val="clear" w:color="auto" w:fill="FFFFFF"/>
        <w:spacing w:beforeAutospacing="0" w:afterAutospacing="0" w:line="585" w:lineRule="atLeast"/>
        <w:ind w:firstLine="645"/>
        <w:jc w:val="both"/>
        <w:rPr>
          <w:rFonts w:ascii="方正仿宋_GBK" w:hAnsi="宋体" w:eastAsia="方正仿宋_GBK" w:cs="宋体"/>
          <w:color w:val="000000"/>
          <w:sz w:val="32"/>
          <w:szCs w:val="32"/>
        </w:rPr>
      </w:pPr>
      <w:r>
        <w:rPr>
          <w:rFonts w:eastAsia="方正仿宋_GBK"/>
          <w:color w:val="333333"/>
          <w:sz w:val="31"/>
          <w:szCs w:val="31"/>
          <w:shd w:val="clear" w:color="auto" w:fill="FFFFFF"/>
        </w:rPr>
        <w:t>6</w:t>
      </w:r>
      <w:r>
        <w:rPr>
          <w:rFonts w:hint="eastAsia" w:ascii="方正仿宋_GBK" w:hAnsi="方正仿宋_GBK" w:eastAsia="方正仿宋_GBK" w:cs="方正仿宋_GBK"/>
          <w:color w:val="333333"/>
          <w:sz w:val="31"/>
          <w:szCs w:val="31"/>
          <w:shd w:val="clear" w:color="auto" w:fill="FFFFFF"/>
        </w:rPr>
        <w:t>.实施义务教育阶段学生学习用品招标采购事务。</w:t>
      </w:r>
    </w:p>
    <w:p>
      <w:pPr>
        <w:spacing w:line="600" w:lineRule="exact"/>
        <w:ind w:firstLine="640" w:firstLineChars="200"/>
        <w:rPr>
          <w:rFonts w:ascii="方正楷体_GBK" w:eastAsia="方正楷体_GBK"/>
          <w:sz w:val="32"/>
        </w:rPr>
      </w:pPr>
      <w:r>
        <w:rPr>
          <w:rFonts w:hint="eastAsia" w:ascii="方正楷体_GBK" w:eastAsia="方正楷体_GBK"/>
          <w:sz w:val="32"/>
        </w:rPr>
        <w:t>（二）单位构成</w:t>
      </w:r>
    </w:p>
    <w:p>
      <w:pPr>
        <w:spacing w:line="600" w:lineRule="exact"/>
        <w:ind w:firstLine="640" w:firstLineChars="200"/>
        <w:rPr>
          <w:rFonts w:ascii="仿宋_GB2312" w:hAnsi="仿宋_GB2312" w:eastAsia="仿宋_GB2312" w:cs="仿宋_GB2312"/>
          <w:sz w:val="32"/>
        </w:rPr>
      </w:pPr>
      <w:r>
        <w:rPr>
          <w:rFonts w:hint="eastAsia" w:ascii="方正仿宋_GBK" w:hAnsi="宋体" w:eastAsia="方正仿宋_GBK" w:cs="宋体"/>
          <w:color w:val="000000"/>
          <w:kern w:val="0"/>
          <w:sz w:val="32"/>
          <w:szCs w:val="32"/>
        </w:rPr>
        <w:t>重庆市开州区教育服务中心为区教委管理的正科级事业单位，人员编制</w:t>
      </w:r>
      <w:r>
        <w:rPr>
          <w:rFonts w:eastAsia="方正仿宋_GBK"/>
          <w:color w:val="000000"/>
          <w:kern w:val="0"/>
          <w:sz w:val="32"/>
          <w:szCs w:val="32"/>
        </w:rPr>
        <w:t>15</w:t>
      </w:r>
      <w:r>
        <w:rPr>
          <w:rFonts w:hint="eastAsia" w:ascii="方正仿宋_GBK" w:hAnsi="宋体" w:eastAsia="方正仿宋_GBK" w:cs="宋体"/>
          <w:color w:val="000000"/>
          <w:kern w:val="0"/>
          <w:sz w:val="32"/>
          <w:szCs w:val="32"/>
        </w:rPr>
        <w:t>名，</w:t>
      </w:r>
      <w:r>
        <w:rPr>
          <w:rFonts w:hint="eastAsia" w:ascii="方正仿宋_GBK" w:eastAsia="方正仿宋_GBK"/>
          <w:sz w:val="32"/>
          <w:szCs w:val="32"/>
        </w:rPr>
        <w:t>主任</w:t>
      </w:r>
      <w:r>
        <w:rPr>
          <w:rFonts w:eastAsia="方正仿宋_GBK"/>
          <w:sz w:val="32"/>
          <w:szCs w:val="32"/>
        </w:rPr>
        <w:t>1</w:t>
      </w:r>
      <w:r>
        <w:rPr>
          <w:rFonts w:hint="eastAsia" w:ascii="方正仿宋_GBK" w:eastAsia="方正仿宋_GBK"/>
          <w:sz w:val="32"/>
          <w:szCs w:val="32"/>
        </w:rPr>
        <w:t>名、副主任</w:t>
      </w:r>
      <w:r>
        <w:rPr>
          <w:rFonts w:eastAsia="方正仿宋_GBK"/>
          <w:sz w:val="32"/>
          <w:szCs w:val="32"/>
        </w:rPr>
        <w:t>1</w:t>
      </w:r>
      <w:r>
        <w:rPr>
          <w:rFonts w:hint="eastAsia" w:ascii="方正仿宋_GBK" w:eastAsia="方正仿宋_GBK"/>
          <w:sz w:val="32"/>
          <w:szCs w:val="32"/>
        </w:rPr>
        <w:t>名</w:t>
      </w:r>
      <w:r>
        <w:rPr>
          <w:rFonts w:hint="eastAsia" w:ascii="方正仿宋_GBK" w:hAnsi="宋体" w:eastAsia="方正仿宋_GBK" w:cs="宋体"/>
          <w:color w:val="000000"/>
          <w:kern w:val="0"/>
          <w:sz w:val="32"/>
          <w:szCs w:val="32"/>
        </w:rPr>
        <w:t>。</w:t>
      </w:r>
    </w:p>
    <w:p>
      <w:pPr>
        <w:overflowPunct w:val="0"/>
        <w:spacing w:line="600" w:lineRule="exact"/>
        <w:ind w:left="640"/>
        <w:rPr>
          <w:rFonts w:eastAsia="方正仿宋_GBK"/>
          <w:sz w:val="32"/>
        </w:rPr>
      </w:pPr>
      <w:r>
        <w:rPr>
          <w:rFonts w:eastAsia="方正黑体_GBK"/>
          <w:sz w:val="32"/>
        </w:rPr>
        <w:t>二、部门收支总体情况</w:t>
      </w:r>
    </w:p>
    <w:p>
      <w:pPr>
        <w:overflowPunct w:val="0"/>
        <w:spacing w:line="600" w:lineRule="exact"/>
        <w:ind w:firstLine="640" w:firstLineChars="200"/>
        <w:rPr>
          <w:rFonts w:eastAsia="方正仿宋_GBK"/>
          <w:sz w:val="32"/>
        </w:rPr>
      </w:pPr>
      <w:r>
        <w:rPr>
          <w:rFonts w:hint="eastAsia" w:ascii="方正楷体_GBK" w:eastAsia="方正楷体_GBK"/>
          <w:sz w:val="32"/>
        </w:rPr>
        <w:t>（一）收入预算：</w:t>
      </w:r>
      <w:r>
        <w:rPr>
          <w:rFonts w:eastAsia="方正仿宋_GBK"/>
          <w:sz w:val="32"/>
        </w:rPr>
        <w:t>2024年年初预算数1180</w:t>
      </w:r>
      <w:r>
        <w:rPr>
          <w:rFonts w:hint="eastAsia" w:eastAsia="方正仿宋_GBK"/>
          <w:sz w:val="32"/>
        </w:rPr>
        <w:t>.</w:t>
      </w:r>
      <w:r>
        <w:rPr>
          <w:rFonts w:eastAsia="方正仿宋_GBK"/>
          <w:sz w:val="32"/>
        </w:rPr>
        <w:t>68万元，其中：一般公共预算拨款1012</w:t>
      </w:r>
      <w:r>
        <w:rPr>
          <w:rFonts w:hint="eastAsia" w:eastAsia="方正仿宋_GBK"/>
          <w:sz w:val="32"/>
        </w:rPr>
        <w:t>.</w:t>
      </w:r>
      <w:r>
        <w:rPr>
          <w:rFonts w:eastAsia="方正仿宋_GBK"/>
          <w:sz w:val="32"/>
        </w:rPr>
        <w:t>68万元，政府性基金预算拨款0万元，国有资本经营预算收入0万元，</w:t>
      </w:r>
      <w:r>
        <w:rPr>
          <w:rFonts w:hint="eastAsia" w:ascii="仿宋_GB2312" w:hAnsi="仿宋_GB2312" w:eastAsia="仿宋_GB2312" w:cs="仿宋_GB2312"/>
          <w:sz w:val="32"/>
        </w:rPr>
        <w:t>财政专户管理资金收入</w:t>
      </w:r>
      <w:r>
        <w:rPr>
          <w:rFonts w:eastAsia="仿宋_GB2312"/>
          <w:sz w:val="32"/>
        </w:rPr>
        <w:t>168</w:t>
      </w:r>
      <w:r>
        <w:rPr>
          <w:rFonts w:hint="eastAsia" w:ascii="仿宋_GB2312" w:hAnsi="仿宋_GB2312" w:eastAsia="仿宋_GB2312" w:cs="仿宋_GB2312"/>
          <w:sz w:val="32"/>
        </w:rPr>
        <w:t>.</w:t>
      </w:r>
      <w:r>
        <w:rPr>
          <w:rFonts w:eastAsia="仿宋_GB2312"/>
          <w:sz w:val="32"/>
        </w:rPr>
        <w:t>00</w:t>
      </w:r>
      <w:r>
        <w:rPr>
          <w:rFonts w:hint="eastAsia" w:ascii="仿宋_GB2312" w:hAnsi="仿宋_GB2312" w:eastAsia="仿宋_GB2312" w:cs="仿宋_GB2312"/>
          <w:sz w:val="32"/>
        </w:rPr>
        <w:t>万元，</w:t>
      </w:r>
      <w:r>
        <w:rPr>
          <w:rFonts w:eastAsia="方正仿宋_GBK"/>
          <w:sz w:val="32"/>
        </w:rPr>
        <w:t>事业收入0万元，事业单位经营收入0万元，其他收入0万元。收入较2023年增加1180</w:t>
      </w:r>
      <w:r>
        <w:rPr>
          <w:rFonts w:hint="eastAsia" w:eastAsia="方正仿宋_GBK"/>
          <w:sz w:val="32"/>
        </w:rPr>
        <w:t>.</w:t>
      </w:r>
      <w:r>
        <w:rPr>
          <w:rFonts w:eastAsia="方正仿宋_GBK"/>
          <w:sz w:val="32"/>
        </w:rPr>
        <w:t>68万元，</w:t>
      </w:r>
      <w:r>
        <w:rPr>
          <w:rFonts w:hint="eastAsia" w:eastAsia="方正仿宋_GBK"/>
          <w:sz w:val="32"/>
        </w:rPr>
        <w:t>主要原因是</w:t>
      </w:r>
      <w:r>
        <w:rPr>
          <w:rFonts w:hint="eastAsia" w:ascii="方正仿宋_GBK" w:hAnsi="宋体" w:eastAsia="方正仿宋_GBK" w:cs="宋体"/>
          <w:color w:val="000000"/>
          <w:kern w:val="0"/>
          <w:sz w:val="32"/>
          <w:szCs w:val="32"/>
        </w:rPr>
        <w:t>重庆市开州区教育服务中心</w:t>
      </w:r>
      <w:r>
        <w:rPr>
          <w:rFonts w:eastAsia="方正仿宋_GBK"/>
          <w:sz w:val="32"/>
        </w:rPr>
        <w:t>2023</w:t>
      </w:r>
      <w:r>
        <w:rPr>
          <w:rFonts w:hint="eastAsia" w:eastAsia="方正仿宋_GBK"/>
          <w:sz w:val="32"/>
        </w:rPr>
        <w:t>年预算纳入了重庆市开州区教育委员会（本级），</w:t>
      </w:r>
      <w:r>
        <w:rPr>
          <w:rFonts w:eastAsia="方正仿宋_GBK"/>
          <w:sz w:val="32"/>
        </w:rPr>
        <w:t>2024</w:t>
      </w:r>
      <w:r>
        <w:rPr>
          <w:rFonts w:hint="eastAsia" w:eastAsia="方正仿宋_GBK"/>
          <w:sz w:val="32"/>
        </w:rPr>
        <w:t>年单列预算</w:t>
      </w:r>
      <w:r>
        <w:rPr>
          <w:rFonts w:eastAsia="方正仿宋_GBK"/>
          <w:sz w:val="32"/>
        </w:rPr>
        <w:t>。</w:t>
      </w:r>
    </w:p>
    <w:p>
      <w:pPr>
        <w:overflowPunct w:val="0"/>
        <w:spacing w:line="600" w:lineRule="exact"/>
        <w:ind w:firstLine="640" w:firstLineChars="200"/>
        <w:rPr>
          <w:rFonts w:eastAsia="方正仿宋_GBK"/>
          <w:sz w:val="32"/>
        </w:rPr>
      </w:pPr>
      <w:r>
        <w:rPr>
          <w:rFonts w:hint="eastAsia" w:ascii="方正楷体_GBK" w:eastAsia="方正楷体_GBK"/>
          <w:sz w:val="32"/>
        </w:rPr>
        <w:t>（二）支出预算：</w:t>
      </w:r>
      <w:r>
        <w:rPr>
          <w:rFonts w:eastAsia="方正仿宋_GBK"/>
          <w:sz w:val="32"/>
        </w:rPr>
        <w:t>2024年年初预算数1180</w:t>
      </w:r>
      <w:r>
        <w:rPr>
          <w:rFonts w:hint="eastAsia" w:eastAsia="方正仿宋_GBK"/>
          <w:sz w:val="32"/>
        </w:rPr>
        <w:t>.</w:t>
      </w:r>
      <w:r>
        <w:rPr>
          <w:rFonts w:eastAsia="方正仿宋_GBK"/>
          <w:sz w:val="32"/>
        </w:rPr>
        <w:t>68万元，其中：一般公共服务支出预算0万元，教育支出预算1091</w:t>
      </w:r>
      <w:r>
        <w:rPr>
          <w:rFonts w:hint="eastAsia" w:eastAsia="方正仿宋_GBK"/>
          <w:sz w:val="32"/>
        </w:rPr>
        <w:t>.</w:t>
      </w:r>
      <w:r>
        <w:rPr>
          <w:rFonts w:eastAsia="方正仿宋_GBK"/>
          <w:sz w:val="32"/>
        </w:rPr>
        <w:t>47万元，社会保障和就业支出预算63</w:t>
      </w:r>
      <w:r>
        <w:rPr>
          <w:rFonts w:hint="eastAsia" w:eastAsia="方正仿宋_GBK"/>
          <w:sz w:val="32"/>
        </w:rPr>
        <w:t>.</w:t>
      </w:r>
      <w:r>
        <w:rPr>
          <w:rFonts w:eastAsia="方正仿宋_GBK"/>
          <w:sz w:val="32"/>
        </w:rPr>
        <w:t>97万元，卫生健康支出预算14</w:t>
      </w:r>
      <w:r>
        <w:rPr>
          <w:rFonts w:hint="eastAsia" w:eastAsia="方正仿宋_GBK"/>
          <w:sz w:val="32"/>
        </w:rPr>
        <w:t>.</w:t>
      </w:r>
      <w:r>
        <w:rPr>
          <w:rFonts w:eastAsia="方正仿宋_GBK"/>
          <w:sz w:val="32"/>
        </w:rPr>
        <w:t>19万元，住房保障支出预算11</w:t>
      </w:r>
      <w:r>
        <w:rPr>
          <w:rFonts w:hint="eastAsia" w:eastAsia="方正仿宋_GBK"/>
          <w:sz w:val="32"/>
        </w:rPr>
        <w:t>.</w:t>
      </w:r>
      <w:r>
        <w:rPr>
          <w:rFonts w:eastAsia="方正仿宋_GBK"/>
          <w:sz w:val="32"/>
        </w:rPr>
        <w:t>05万元。支出预算较2023年增加1180</w:t>
      </w:r>
      <w:r>
        <w:rPr>
          <w:rFonts w:hint="eastAsia" w:eastAsia="方正仿宋_GBK"/>
          <w:sz w:val="32"/>
        </w:rPr>
        <w:t>.</w:t>
      </w:r>
      <w:r>
        <w:rPr>
          <w:rFonts w:eastAsia="方正仿宋_GBK"/>
          <w:sz w:val="32"/>
        </w:rPr>
        <w:t>68万元，主要</w:t>
      </w:r>
      <w:r>
        <w:rPr>
          <w:rFonts w:hint="eastAsia" w:eastAsia="方正仿宋_GBK"/>
          <w:sz w:val="32"/>
        </w:rPr>
        <w:t>原因</w:t>
      </w:r>
      <w:r>
        <w:rPr>
          <w:rFonts w:eastAsia="方正仿宋_GBK"/>
          <w:sz w:val="32"/>
        </w:rPr>
        <w:t>是</w:t>
      </w:r>
      <w:r>
        <w:rPr>
          <w:rFonts w:hint="eastAsia" w:ascii="方正仿宋_GBK" w:hAnsi="宋体" w:eastAsia="方正仿宋_GBK" w:cs="宋体"/>
          <w:color w:val="000000"/>
          <w:kern w:val="0"/>
          <w:sz w:val="32"/>
          <w:szCs w:val="32"/>
        </w:rPr>
        <w:t>重庆市开州区教育服务中心</w:t>
      </w:r>
      <w:r>
        <w:rPr>
          <w:rFonts w:eastAsia="方正仿宋_GBK"/>
          <w:sz w:val="32"/>
        </w:rPr>
        <w:t>2023</w:t>
      </w:r>
      <w:r>
        <w:rPr>
          <w:rFonts w:hint="eastAsia" w:eastAsia="方正仿宋_GBK"/>
          <w:sz w:val="32"/>
        </w:rPr>
        <w:t>年预算纳入了重庆市开州区教育委员会（本级），</w:t>
      </w:r>
      <w:r>
        <w:rPr>
          <w:rFonts w:eastAsia="方正仿宋_GBK"/>
          <w:sz w:val="32"/>
        </w:rPr>
        <w:t>2024</w:t>
      </w:r>
      <w:r>
        <w:rPr>
          <w:rFonts w:hint="eastAsia" w:eastAsia="方正仿宋_GBK"/>
          <w:sz w:val="32"/>
        </w:rPr>
        <w:t>年单列预算</w:t>
      </w:r>
      <w:r>
        <w:rPr>
          <w:rFonts w:eastAsia="方正仿宋_GBK"/>
          <w:sz w:val="32"/>
        </w:rPr>
        <w:t>。</w:t>
      </w:r>
    </w:p>
    <w:p>
      <w:pPr>
        <w:overflowPunct w:val="0"/>
        <w:spacing w:line="600" w:lineRule="exact"/>
        <w:ind w:firstLine="640" w:firstLineChars="200"/>
        <w:rPr>
          <w:rFonts w:eastAsia="方正黑体_GBK"/>
          <w:sz w:val="32"/>
        </w:rPr>
      </w:pPr>
      <w:r>
        <w:rPr>
          <w:rFonts w:eastAsia="方正黑体_GBK"/>
          <w:sz w:val="32"/>
        </w:rPr>
        <w:t>三、部门预算情况说明</w:t>
      </w:r>
    </w:p>
    <w:p>
      <w:pPr>
        <w:overflowPunct w:val="0"/>
        <w:spacing w:line="600" w:lineRule="exact"/>
        <w:ind w:firstLine="640" w:firstLineChars="200"/>
        <w:rPr>
          <w:rFonts w:eastAsia="方正仿宋_GBK"/>
          <w:sz w:val="32"/>
        </w:rPr>
      </w:pPr>
      <w:r>
        <w:rPr>
          <w:rFonts w:eastAsia="方正仿宋_GBK"/>
          <w:sz w:val="32"/>
        </w:rPr>
        <w:t>2024年一般公共预算财政拨款收入1012</w:t>
      </w:r>
      <w:r>
        <w:rPr>
          <w:rFonts w:hint="eastAsia" w:eastAsia="方正仿宋_GBK"/>
          <w:sz w:val="32"/>
        </w:rPr>
        <w:t>.</w:t>
      </w:r>
      <w:r>
        <w:rPr>
          <w:rFonts w:eastAsia="方正仿宋_GBK"/>
          <w:sz w:val="32"/>
        </w:rPr>
        <w:t>68万元，一般公共预算财政拨款支出1012</w:t>
      </w:r>
      <w:r>
        <w:rPr>
          <w:rFonts w:hint="eastAsia" w:eastAsia="方正仿宋_GBK"/>
          <w:sz w:val="32"/>
        </w:rPr>
        <w:t>.</w:t>
      </w:r>
      <w:r>
        <w:rPr>
          <w:rFonts w:eastAsia="方正仿宋_GBK"/>
          <w:sz w:val="32"/>
        </w:rPr>
        <w:t>68万元，比2023年增加1012</w:t>
      </w:r>
      <w:r>
        <w:rPr>
          <w:rFonts w:hint="eastAsia" w:eastAsia="方正仿宋_GBK"/>
          <w:sz w:val="32"/>
        </w:rPr>
        <w:t>.</w:t>
      </w:r>
      <w:r>
        <w:rPr>
          <w:rFonts w:eastAsia="方正仿宋_GBK"/>
          <w:sz w:val="32"/>
        </w:rPr>
        <w:t>68万元。其中：基本支出1012</w:t>
      </w:r>
      <w:r>
        <w:rPr>
          <w:rFonts w:hint="eastAsia" w:eastAsia="方正仿宋_GBK"/>
          <w:sz w:val="32"/>
        </w:rPr>
        <w:t>.</w:t>
      </w:r>
      <w:r>
        <w:rPr>
          <w:rFonts w:eastAsia="方正仿宋_GBK"/>
          <w:sz w:val="32"/>
        </w:rPr>
        <w:t>68万元，比2023年增加1012</w:t>
      </w:r>
      <w:r>
        <w:rPr>
          <w:rFonts w:hint="eastAsia" w:eastAsia="方正仿宋_GBK"/>
          <w:sz w:val="32"/>
        </w:rPr>
        <w:t>.</w:t>
      </w:r>
      <w:r>
        <w:rPr>
          <w:rFonts w:eastAsia="方正仿宋_GBK"/>
          <w:sz w:val="32"/>
        </w:rPr>
        <w:t>68万元，主要原因是</w:t>
      </w:r>
      <w:r>
        <w:rPr>
          <w:rFonts w:hint="eastAsia" w:ascii="方正仿宋_GBK" w:hAnsi="宋体" w:eastAsia="方正仿宋_GBK" w:cs="宋体"/>
          <w:color w:val="000000"/>
          <w:kern w:val="0"/>
          <w:sz w:val="32"/>
          <w:szCs w:val="32"/>
        </w:rPr>
        <w:t>重庆市开州区教育服务中心</w:t>
      </w:r>
      <w:r>
        <w:rPr>
          <w:rFonts w:eastAsia="方正仿宋_GBK"/>
          <w:sz w:val="32"/>
        </w:rPr>
        <w:t>2023</w:t>
      </w:r>
      <w:r>
        <w:rPr>
          <w:rFonts w:hint="eastAsia" w:eastAsia="方正仿宋_GBK"/>
          <w:sz w:val="32"/>
        </w:rPr>
        <w:t>年预算纳入了重庆市开州区教育委员会（本级），</w:t>
      </w:r>
      <w:r>
        <w:rPr>
          <w:rFonts w:eastAsia="方正仿宋_GBK"/>
          <w:sz w:val="32"/>
        </w:rPr>
        <w:t>2024</w:t>
      </w:r>
      <w:r>
        <w:rPr>
          <w:rFonts w:hint="eastAsia" w:eastAsia="方正仿宋_GBK"/>
          <w:sz w:val="32"/>
        </w:rPr>
        <w:t>年单列预算</w:t>
      </w:r>
      <w:r>
        <w:rPr>
          <w:rFonts w:eastAsia="方正仿宋_GBK"/>
          <w:sz w:val="32"/>
        </w:rPr>
        <w:t>，主要用于保障</w:t>
      </w:r>
      <w:r>
        <w:rPr>
          <w:rFonts w:hint="eastAsia" w:ascii="方正仿宋_GBK" w:eastAsia="方正仿宋_GBK"/>
          <w:sz w:val="32"/>
        </w:rPr>
        <w:t>单位</w:t>
      </w:r>
      <w:r>
        <w:rPr>
          <w:rFonts w:eastAsia="方正仿宋_GBK"/>
          <w:sz w:val="32"/>
        </w:rPr>
        <w:t>在职人员工资福利及社会保险缴费等，保障部门正常运转的各项商品服务支出；</w:t>
      </w:r>
      <w:r>
        <w:rPr>
          <w:rFonts w:hint="eastAsia" w:ascii="方正仿宋_GBK" w:hAnsi="仿宋_GB2312" w:eastAsia="方正仿宋_GBK" w:cs="仿宋_GB2312"/>
          <w:sz w:val="32"/>
        </w:rPr>
        <w:t>项目支出无安排</w:t>
      </w:r>
      <w:r>
        <w:rPr>
          <w:rFonts w:eastAsia="方正仿宋_GBK"/>
          <w:sz w:val="32"/>
        </w:rPr>
        <w:t>。</w:t>
      </w:r>
    </w:p>
    <w:p>
      <w:pPr>
        <w:overflowPunct w:val="0"/>
        <w:spacing w:line="600" w:lineRule="exact"/>
        <w:ind w:firstLine="640" w:firstLineChars="200"/>
        <w:rPr>
          <w:rFonts w:eastAsia="方正仿宋_GBK"/>
          <w:sz w:val="32"/>
        </w:rPr>
      </w:pPr>
      <w:r>
        <w:rPr>
          <w:rFonts w:hint="eastAsia" w:eastAsia="方正仿宋_GBK"/>
          <w:sz w:val="32"/>
        </w:rPr>
        <w:t>重庆市开州区教育服务中心</w:t>
      </w:r>
      <w:r>
        <w:rPr>
          <w:rFonts w:eastAsia="方正仿宋_GBK"/>
          <w:sz w:val="32"/>
        </w:rPr>
        <w:t>2024年无使用政府性基金预算拨款安排的支出</w:t>
      </w:r>
      <w:r>
        <w:rPr>
          <w:rFonts w:hint="eastAsia" w:eastAsia="方正仿宋_GBK"/>
          <w:sz w:val="32"/>
        </w:rPr>
        <w:t>。</w:t>
      </w:r>
    </w:p>
    <w:p>
      <w:pPr>
        <w:overflowPunct w:val="0"/>
        <w:spacing w:line="600" w:lineRule="exact"/>
        <w:ind w:firstLine="640" w:firstLineChars="200"/>
        <w:rPr>
          <w:rFonts w:eastAsia="方正仿宋_GBK"/>
          <w:sz w:val="32"/>
        </w:rPr>
      </w:pPr>
      <w:r>
        <w:rPr>
          <w:rFonts w:eastAsia="方正黑体_GBK"/>
          <w:sz w:val="32"/>
        </w:rPr>
        <w:t>四、</w:t>
      </w:r>
      <w:r>
        <w:rPr>
          <w:rFonts w:hint="eastAsia" w:ascii="方正黑体_GBK" w:eastAsia="方正黑体_GBK"/>
          <w:sz w:val="32"/>
        </w:rPr>
        <w:t>“三公”经</w:t>
      </w:r>
      <w:r>
        <w:rPr>
          <w:rFonts w:eastAsia="方正黑体_GBK"/>
          <w:sz w:val="32"/>
        </w:rPr>
        <w:t>费情况说明</w:t>
      </w:r>
    </w:p>
    <w:p>
      <w:pPr>
        <w:overflowPunct w:val="0"/>
        <w:spacing w:line="600" w:lineRule="exact"/>
        <w:ind w:firstLine="640" w:firstLineChars="200"/>
        <w:rPr>
          <w:rFonts w:eastAsia="方正仿宋_GBK"/>
          <w:sz w:val="32"/>
        </w:rPr>
      </w:pPr>
      <w:r>
        <w:rPr>
          <w:rFonts w:eastAsia="方正仿宋_GBK"/>
          <w:sz w:val="32"/>
        </w:rPr>
        <w:t>2024年</w:t>
      </w:r>
      <w:r>
        <w:rPr>
          <w:rFonts w:hint="eastAsia" w:ascii="方正仿宋_GBK" w:eastAsia="方正仿宋_GBK"/>
          <w:sz w:val="32"/>
        </w:rPr>
        <w:t>“三公”经</w:t>
      </w:r>
      <w:r>
        <w:rPr>
          <w:rFonts w:eastAsia="方正仿宋_GBK"/>
          <w:sz w:val="32"/>
        </w:rPr>
        <w:t>费预算1万元，比2023年增加1</w:t>
      </w:r>
      <w:r>
        <w:rPr>
          <w:rFonts w:hint="eastAsia" w:eastAsia="方正仿宋_GBK"/>
          <w:sz w:val="32"/>
        </w:rPr>
        <w:t>.</w:t>
      </w:r>
      <w:r>
        <w:rPr>
          <w:rFonts w:eastAsia="方正仿宋_GBK"/>
          <w:sz w:val="32"/>
        </w:rPr>
        <w:t>00万元。其中：因公出国（境）费用0万元，比2023年减少0万元；公务接待费1万元，比2023年增加1</w:t>
      </w:r>
      <w:r>
        <w:rPr>
          <w:rFonts w:hint="eastAsia" w:eastAsia="方正仿宋_GBK"/>
          <w:sz w:val="32"/>
        </w:rPr>
        <w:t>.</w:t>
      </w:r>
      <w:r>
        <w:rPr>
          <w:rFonts w:eastAsia="方正仿宋_GBK"/>
          <w:sz w:val="32"/>
        </w:rPr>
        <w:t>00万元，主要原因是</w:t>
      </w:r>
      <w:r>
        <w:rPr>
          <w:rFonts w:hint="eastAsia" w:ascii="方正仿宋_GBK" w:eastAsia="方正仿宋_GBK"/>
          <w:sz w:val="32"/>
        </w:rPr>
        <w:t>各类培训及检查接待相关人员发生的费用</w:t>
      </w:r>
      <w:r>
        <w:rPr>
          <w:rFonts w:eastAsia="方正仿宋_GBK"/>
          <w:sz w:val="32"/>
        </w:rPr>
        <w:t>；公务用车运行维护费0万元，比2023年减少0万元。</w:t>
      </w:r>
    </w:p>
    <w:p>
      <w:pPr>
        <w:overflowPunct w:val="0"/>
        <w:spacing w:line="600" w:lineRule="exact"/>
        <w:ind w:firstLine="640" w:firstLineChars="200"/>
        <w:rPr>
          <w:rFonts w:eastAsia="方正黑体_GBK"/>
          <w:sz w:val="32"/>
        </w:rPr>
      </w:pPr>
      <w:r>
        <w:rPr>
          <w:rFonts w:eastAsia="方正黑体_GBK"/>
          <w:sz w:val="32"/>
        </w:rPr>
        <w:t>五、其他重要事项的情况说明</w:t>
      </w:r>
    </w:p>
    <w:p>
      <w:pPr>
        <w:overflowPunct w:val="0"/>
        <w:spacing w:line="600" w:lineRule="exact"/>
        <w:ind w:firstLine="640" w:firstLineChars="200"/>
        <w:rPr>
          <w:rFonts w:eastAsia="方正仿宋_GBK"/>
          <w:sz w:val="32"/>
        </w:rPr>
      </w:pPr>
      <w:r>
        <w:rPr>
          <w:rFonts w:eastAsia="方正仿宋_GBK"/>
          <w:sz w:val="32"/>
        </w:rPr>
        <w:t>1</w:t>
      </w:r>
      <w:r>
        <w:rPr>
          <w:rFonts w:hint="eastAsia" w:eastAsia="方正仿宋_GBK"/>
          <w:sz w:val="32"/>
        </w:rPr>
        <w:t>.</w:t>
      </w:r>
      <w:r>
        <w:rPr>
          <w:rFonts w:eastAsia="方正仿宋_GBK"/>
          <w:sz w:val="32"/>
        </w:rPr>
        <w:t>我单位不在机关运行经费统计范围之内。</w:t>
      </w:r>
    </w:p>
    <w:p>
      <w:pPr>
        <w:overflowPunct w:val="0"/>
        <w:spacing w:line="600" w:lineRule="exact"/>
        <w:ind w:firstLine="640" w:firstLineChars="200"/>
        <w:rPr>
          <w:rFonts w:eastAsia="方正仿宋_GBK"/>
          <w:sz w:val="32"/>
        </w:rPr>
      </w:pPr>
      <w:r>
        <w:rPr>
          <w:rFonts w:eastAsia="方正仿宋_GBK"/>
          <w:b/>
          <w:sz w:val="32"/>
        </w:rPr>
        <w:t>2</w:t>
      </w:r>
      <w:r>
        <w:rPr>
          <w:rFonts w:hint="eastAsia" w:eastAsia="方正仿宋_GBK"/>
          <w:b/>
          <w:sz w:val="32"/>
        </w:rPr>
        <w:t>.</w:t>
      </w:r>
      <w:r>
        <w:rPr>
          <w:rFonts w:eastAsia="方正仿宋_GBK"/>
          <w:b/>
          <w:sz w:val="32"/>
        </w:rPr>
        <w:t>政府采购情况。</w:t>
      </w:r>
      <w:r>
        <w:rPr>
          <w:rFonts w:hint="eastAsia" w:eastAsia="方正仿宋_GBK"/>
          <w:sz w:val="32"/>
        </w:rPr>
        <w:t>本</w:t>
      </w:r>
      <w:r>
        <w:rPr>
          <w:rFonts w:eastAsia="方正仿宋_GBK"/>
          <w:sz w:val="32"/>
        </w:rPr>
        <w:t>单位政府采购预算总额0万元：政府采购货物预算0万元、政府采购工程预算0万元、政府采购服务预算0万元；其中一般公共预算拨款政府采购0万元：政府采购货物预算0万元、政府采购工程预算0万元、政府采购服务预算0万元。</w:t>
      </w:r>
    </w:p>
    <w:p>
      <w:pPr>
        <w:overflowPunct w:val="0"/>
        <w:spacing w:line="600" w:lineRule="exact"/>
        <w:ind w:firstLine="640" w:firstLineChars="200"/>
        <w:rPr>
          <w:rFonts w:eastAsia="方正仿宋_GBK"/>
          <w:color w:val="000000"/>
          <w:sz w:val="32"/>
        </w:rPr>
      </w:pPr>
      <w:r>
        <w:rPr>
          <w:rFonts w:eastAsia="方正仿宋_GBK"/>
          <w:b/>
          <w:sz w:val="32"/>
        </w:rPr>
        <w:t>3</w:t>
      </w:r>
      <w:r>
        <w:rPr>
          <w:rFonts w:hint="eastAsia" w:eastAsia="方正仿宋_GBK"/>
          <w:b/>
          <w:sz w:val="32"/>
        </w:rPr>
        <w:t>.</w:t>
      </w:r>
      <w:r>
        <w:rPr>
          <w:rFonts w:eastAsia="方正仿宋_GBK"/>
          <w:b/>
          <w:sz w:val="32"/>
        </w:rPr>
        <w:t>绩效目标设置情况。</w:t>
      </w:r>
      <w:r>
        <w:rPr>
          <w:rFonts w:eastAsia="方正仿宋_GBK"/>
          <w:color w:val="000000"/>
          <w:sz w:val="32"/>
        </w:rPr>
        <w:t>2024年项目支出均实行了绩效目标管理，涉及一般公共预算当年财政拨款0万元。</w:t>
      </w:r>
    </w:p>
    <w:p>
      <w:pPr>
        <w:overflowPunct w:val="0"/>
        <w:spacing w:line="600" w:lineRule="exact"/>
        <w:ind w:firstLine="640" w:firstLineChars="200"/>
        <w:rPr>
          <w:rFonts w:eastAsia="方正仿宋_GBK"/>
          <w:color w:val="000000"/>
          <w:sz w:val="32"/>
        </w:rPr>
      </w:pPr>
      <w:r>
        <w:rPr>
          <w:rFonts w:eastAsia="方正仿宋_GBK"/>
          <w:b/>
          <w:color w:val="000000"/>
          <w:sz w:val="32"/>
        </w:rPr>
        <w:t>4</w:t>
      </w:r>
      <w:r>
        <w:rPr>
          <w:rFonts w:hint="eastAsia" w:eastAsia="方正仿宋_GBK"/>
          <w:b/>
          <w:color w:val="000000"/>
          <w:sz w:val="32"/>
        </w:rPr>
        <w:t>.</w:t>
      </w:r>
      <w:r>
        <w:rPr>
          <w:rFonts w:eastAsia="方正仿宋_GBK"/>
          <w:b/>
          <w:color w:val="000000"/>
          <w:sz w:val="32"/>
        </w:rPr>
        <w:t>国有资产占有使用情况。</w:t>
      </w:r>
      <w:r>
        <w:rPr>
          <w:rFonts w:hint="eastAsia" w:eastAsia="方正仿宋_GBK"/>
          <w:color w:val="000000"/>
          <w:sz w:val="32"/>
          <w:lang w:eastAsia="zh-CN"/>
        </w:rPr>
        <w:t>截至</w:t>
      </w:r>
      <w:r>
        <w:rPr>
          <w:rFonts w:eastAsia="方正仿宋_GBK"/>
          <w:color w:val="000000"/>
          <w:sz w:val="32"/>
        </w:rPr>
        <w:t>2023年12月，</w:t>
      </w:r>
      <w:r>
        <w:rPr>
          <w:rFonts w:hint="eastAsia" w:eastAsia="方正仿宋_GBK"/>
          <w:color w:val="000000"/>
          <w:sz w:val="32"/>
        </w:rPr>
        <w:t>本</w:t>
      </w:r>
      <w:r>
        <w:rPr>
          <w:rFonts w:eastAsia="方正仿宋_GBK"/>
          <w:color w:val="000000"/>
          <w:sz w:val="32"/>
        </w:rPr>
        <w:t>单位共有车辆0辆，其中一般公务用车0辆</w:t>
      </w:r>
      <w:r>
        <w:rPr>
          <w:rFonts w:hint="eastAsia" w:eastAsia="方正仿宋_GBK"/>
          <w:color w:val="000000"/>
          <w:sz w:val="32"/>
        </w:rPr>
        <w:t>、执勤执法用车</w:t>
      </w:r>
      <w:r>
        <w:rPr>
          <w:rFonts w:eastAsia="方正仿宋_GBK"/>
          <w:color w:val="000000"/>
          <w:sz w:val="32"/>
        </w:rPr>
        <w:t>0</w:t>
      </w:r>
      <w:r>
        <w:rPr>
          <w:rFonts w:hint="eastAsia" w:eastAsia="方正仿宋_GBK"/>
          <w:color w:val="000000"/>
          <w:sz w:val="32"/>
        </w:rPr>
        <w:t>辆</w:t>
      </w:r>
      <w:r>
        <w:rPr>
          <w:rFonts w:eastAsia="方正仿宋_GBK"/>
          <w:color w:val="000000"/>
          <w:sz w:val="32"/>
        </w:rPr>
        <w:t>。2024年一般公共预算安排购置车辆0辆</w:t>
      </w:r>
      <w:r>
        <w:rPr>
          <w:rFonts w:hint="eastAsia" w:eastAsia="方正仿宋_GBK"/>
          <w:color w:val="000000"/>
          <w:sz w:val="32"/>
        </w:rPr>
        <w:t>，</w:t>
      </w:r>
      <w:r>
        <w:rPr>
          <w:rFonts w:eastAsia="方正仿宋_GBK"/>
          <w:color w:val="000000"/>
          <w:sz w:val="32"/>
        </w:rPr>
        <w:t>其中一般公务用车0辆</w:t>
      </w:r>
      <w:r>
        <w:rPr>
          <w:rFonts w:hint="eastAsia" w:eastAsia="方正仿宋_GBK"/>
          <w:color w:val="000000"/>
          <w:sz w:val="32"/>
        </w:rPr>
        <w:t>、执勤执法用车</w:t>
      </w:r>
      <w:r>
        <w:rPr>
          <w:rFonts w:eastAsia="方正仿宋_GBK"/>
          <w:color w:val="000000"/>
          <w:sz w:val="32"/>
        </w:rPr>
        <w:t>0</w:t>
      </w:r>
      <w:r>
        <w:rPr>
          <w:rFonts w:hint="eastAsia" w:eastAsia="方正仿宋_GBK"/>
          <w:color w:val="000000"/>
          <w:sz w:val="32"/>
        </w:rPr>
        <w:t>辆</w:t>
      </w:r>
      <w:r>
        <w:rPr>
          <w:rFonts w:eastAsia="方正仿宋_GBK"/>
          <w:color w:val="000000"/>
          <w:sz w:val="32"/>
        </w:rPr>
        <w:t>。</w:t>
      </w:r>
    </w:p>
    <w:p>
      <w:pPr>
        <w:overflowPunct w:val="0"/>
        <w:spacing w:line="600" w:lineRule="exact"/>
        <w:ind w:firstLine="640" w:firstLineChars="200"/>
        <w:rPr>
          <w:rFonts w:eastAsia="方正仿宋_GBK"/>
          <w:sz w:val="32"/>
          <w:szCs w:val="32"/>
        </w:rPr>
      </w:pPr>
      <w:r>
        <w:rPr>
          <w:rFonts w:eastAsia="方正黑体_GBK"/>
          <w:sz w:val="32"/>
        </w:rPr>
        <w:t>六、专业性名词解释</w:t>
      </w:r>
    </w:p>
    <w:p>
      <w:pPr>
        <w:pStyle w:val="8"/>
        <w:tabs>
          <w:tab w:val="center" w:pos="4153"/>
          <w:tab w:val="left" w:pos="7275"/>
        </w:tabs>
        <w:overflowPunct w:val="0"/>
        <w:spacing w:line="600" w:lineRule="exact"/>
        <w:ind w:firstLine="640"/>
        <w:rPr>
          <w:rFonts w:ascii="Times New Roman" w:hAnsi="Times New Roman" w:eastAsia="方正仿宋_GBK"/>
          <w:sz w:val="32"/>
          <w:szCs w:val="32"/>
        </w:rPr>
      </w:pPr>
      <w:r>
        <w:rPr>
          <w:rFonts w:hint="eastAsia" w:ascii="方正楷体_GBK" w:hAnsi="Times New Roman" w:eastAsia="方正楷体_GBK"/>
          <w:sz w:val="32"/>
          <w:szCs w:val="32"/>
        </w:rPr>
        <w:t>（一）财政拨款收入：</w:t>
      </w:r>
      <w:r>
        <w:rPr>
          <w:rFonts w:ascii="Times New Roman" w:hAnsi="Times New Roman" w:eastAsia="方正仿宋_GBK"/>
          <w:sz w:val="32"/>
          <w:szCs w:val="32"/>
        </w:rPr>
        <w:t>指本年度从本级财政部门取得的财政拨款，包括一般公共预算财政拨款和政府性基金预算财政拨款。</w:t>
      </w:r>
    </w:p>
    <w:p>
      <w:pPr>
        <w:pStyle w:val="8"/>
        <w:tabs>
          <w:tab w:val="center" w:pos="4153"/>
          <w:tab w:val="left" w:pos="7275"/>
        </w:tabs>
        <w:overflowPunct w:val="0"/>
        <w:spacing w:line="600" w:lineRule="exact"/>
        <w:ind w:firstLine="640"/>
        <w:rPr>
          <w:rFonts w:ascii="方正仿宋_GBK" w:hAnsi="Times New Roman" w:eastAsia="方正仿宋_GBK"/>
          <w:sz w:val="32"/>
          <w:szCs w:val="32"/>
        </w:rPr>
      </w:pPr>
      <w:r>
        <w:rPr>
          <w:rFonts w:hint="eastAsia" w:ascii="方正楷体_GBK" w:hAnsi="Times New Roman" w:eastAsia="方正楷体_GBK"/>
          <w:sz w:val="32"/>
          <w:szCs w:val="32"/>
        </w:rPr>
        <w:t>（二）其他收入：</w:t>
      </w:r>
      <w:r>
        <w:rPr>
          <w:rFonts w:ascii="Times New Roman" w:hAnsi="Times New Roman" w:eastAsia="方正仿宋_GBK"/>
          <w:sz w:val="32"/>
          <w:szCs w:val="32"/>
        </w:rPr>
        <w:t>指单位取</w:t>
      </w:r>
      <w:r>
        <w:rPr>
          <w:rFonts w:hint="eastAsia" w:ascii="方正仿宋_GBK" w:hAnsi="Times New Roman" w:eastAsia="方正仿宋_GBK"/>
          <w:sz w:val="32"/>
          <w:szCs w:val="32"/>
        </w:rPr>
        <w:t>得的除“财政拨款收入”、“事业收入”、“经营收入”等以外的收入。</w:t>
      </w:r>
    </w:p>
    <w:p>
      <w:pPr>
        <w:pStyle w:val="8"/>
        <w:tabs>
          <w:tab w:val="center" w:pos="4153"/>
          <w:tab w:val="left" w:pos="7275"/>
        </w:tabs>
        <w:overflowPunct w:val="0"/>
        <w:spacing w:line="600" w:lineRule="exact"/>
        <w:ind w:firstLine="640"/>
        <w:rPr>
          <w:rFonts w:ascii="Times New Roman" w:hAnsi="Times New Roman" w:eastAsia="方正仿宋_GBK"/>
          <w:sz w:val="32"/>
          <w:szCs w:val="32"/>
        </w:rPr>
      </w:pPr>
      <w:r>
        <w:rPr>
          <w:rFonts w:hint="eastAsia" w:ascii="方正楷体_GBK" w:hAnsi="Times New Roman" w:eastAsia="方正楷体_GBK"/>
          <w:sz w:val="32"/>
          <w:szCs w:val="32"/>
        </w:rPr>
        <w:t>（三）基本支出：</w:t>
      </w:r>
      <w:r>
        <w:rPr>
          <w:rFonts w:ascii="Times New Roman" w:hAnsi="Times New Roman" w:eastAsia="方正仿宋_GBK"/>
          <w:sz w:val="32"/>
          <w:szCs w:val="32"/>
        </w:rPr>
        <w:t>指为保障机构正常运转、完成日常工作任务而发生的人员经费和公用经费。</w:t>
      </w:r>
    </w:p>
    <w:p>
      <w:pPr>
        <w:pStyle w:val="8"/>
        <w:tabs>
          <w:tab w:val="center" w:pos="4153"/>
          <w:tab w:val="left" w:pos="7275"/>
        </w:tabs>
        <w:overflowPunct w:val="0"/>
        <w:spacing w:line="600" w:lineRule="exact"/>
        <w:ind w:firstLine="640"/>
        <w:rPr>
          <w:rFonts w:ascii="Times New Roman" w:hAnsi="Times New Roman" w:eastAsia="方正仿宋_GBK"/>
          <w:sz w:val="32"/>
          <w:szCs w:val="32"/>
        </w:rPr>
      </w:pPr>
      <w:r>
        <w:rPr>
          <w:rFonts w:hint="eastAsia" w:ascii="方正楷体_GBK" w:hAnsi="Times New Roman" w:eastAsia="方正楷体_GBK"/>
          <w:sz w:val="32"/>
          <w:szCs w:val="32"/>
        </w:rPr>
        <w:t>（四）项目支出：</w:t>
      </w:r>
      <w:r>
        <w:rPr>
          <w:rFonts w:ascii="Times New Roman" w:hAnsi="Times New Roman" w:eastAsia="方正仿宋_GBK"/>
          <w:sz w:val="32"/>
          <w:szCs w:val="32"/>
        </w:rPr>
        <w:t>指在基本支出之外为完成特定行政任务和事业发展目标所发生的支出。</w:t>
      </w:r>
    </w:p>
    <w:p>
      <w:pPr>
        <w:overflowPunct w:val="0"/>
        <w:spacing w:line="600" w:lineRule="exact"/>
        <w:ind w:firstLine="640" w:firstLineChars="200"/>
        <w:rPr>
          <w:rFonts w:eastAsia="方正仿宋_GBK"/>
          <w:sz w:val="32"/>
          <w:szCs w:val="32"/>
        </w:rPr>
      </w:pPr>
      <w:r>
        <w:rPr>
          <w:rFonts w:hint="eastAsia" w:ascii="方正楷体_GBK" w:eastAsia="方正楷体_GBK"/>
          <w:sz w:val="32"/>
          <w:szCs w:val="32"/>
        </w:rPr>
        <w:t>（五）“三公”经费：</w:t>
      </w:r>
      <w:r>
        <w:rPr>
          <w:rFonts w:hint="eastAsia" w:ascii="方正仿宋_GBK" w:eastAsia="方正仿宋_GBK"/>
          <w:sz w:val="32"/>
          <w:szCs w:val="32"/>
        </w:rPr>
        <w:t>指用一</w:t>
      </w:r>
      <w:r>
        <w:rPr>
          <w:rFonts w:eastAsia="方正仿宋_GBK"/>
          <w:sz w:val="32"/>
          <w:szCs w:val="32"/>
        </w:rPr>
        <w:t>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pPr>
        <w:ind w:firstLine="420" w:firstLineChars="200"/>
      </w:pPr>
    </w:p>
    <w:p>
      <w:pPr>
        <w:ind w:firstLine="420" w:firstLineChars="200"/>
      </w:pPr>
    </w:p>
    <w:p/>
    <w:p/>
    <w:p/>
    <w:p/>
    <w:p/>
    <w:p/>
    <w:p/>
    <w:p/>
    <w:p/>
    <w:p/>
    <w:p/>
    <w:p/>
    <w:p/>
    <w:p>
      <w:pPr>
        <w:spacing w:line="600" w:lineRule="exact"/>
        <w:ind w:firstLine="880" w:firstLineChars="200"/>
        <w:rPr>
          <w:rFonts w:eastAsia="方正小标宋_GBK"/>
          <w:sz w:val="44"/>
          <w:szCs w:val="44"/>
        </w:rPr>
      </w:pPr>
      <w:r>
        <w:rPr>
          <w:rFonts w:hint="eastAsia" w:eastAsia="方正小标宋_GBK"/>
          <w:sz w:val="44"/>
          <w:szCs w:val="44"/>
        </w:rPr>
        <w:t>第二部分：</w:t>
      </w:r>
      <w:r>
        <w:rPr>
          <w:rFonts w:eastAsia="方正小标宋_GBK"/>
          <w:sz w:val="44"/>
          <w:szCs w:val="44"/>
        </w:rPr>
        <w:t>2024</w:t>
      </w:r>
      <w:r>
        <w:rPr>
          <w:rFonts w:hint="eastAsia" w:eastAsia="方正小标宋_GBK"/>
          <w:sz w:val="44"/>
          <w:szCs w:val="44"/>
        </w:rPr>
        <w:t>年部门预算公开报表</w:t>
      </w:r>
    </w:p>
    <w:p>
      <w:pPr>
        <w:spacing w:line="600" w:lineRule="exact"/>
        <w:ind w:firstLine="640" w:firstLineChars="200"/>
        <w:rPr>
          <w:rFonts w:eastAsia="方正黑体_GBK"/>
          <w:sz w:val="32"/>
        </w:rPr>
      </w:pPr>
    </w:p>
    <w:p>
      <w:pPr>
        <w:spacing w:line="600" w:lineRule="exact"/>
        <w:ind w:firstLine="640" w:firstLineChars="200"/>
        <w:rPr>
          <w:rFonts w:hint="eastAsia" w:eastAsia="方正黑体_GBK"/>
          <w:sz w:val="32"/>
        </w:rPr>
      </w:pPr>
      <w:r>
        <w:rPr>
          <w:rFonts w:eastAsia="方正黑体_GBK"/>
          <w:sz w:val="32"/>
        </w:rPr>
        <w:t>2024</w:t>
      </w:r>
      <w:r>
        <w:rPr>
          <w:rFonts w:hint="eastAsia" w:eastAsia="方正黑体_GBK"/>
          <w:sz w:val="32"/>
        </w:rPr>
        <w:t>年部门预算公开报表（详见附表重庆市开州区教育服务中心</w:t>
      </w:r>
      <w:r>
        <w:rPr>
          <w:rFonts w:eastAsia="方正黑体_GBK"/>
          <w:sz w:val="32"/>
        </w:rPr>
        <w:t>2024年部门预算公开报表</w:t>
      </w:r>
      <w:r>
        <w:rPr>
          <w:rFonts w:hint="eastAsia" w:eastAsia="方正黑体_GBK"/>
          <w:sz w:val="32"/>
        </w:rPr>
        <w:t>）</w:t>
      </w:r>
    </w:p>
    <w:p>
      <w:pPr>
        <w:spacing w:line="600" w:lineRule="exact"/>
        <w:ind w:firstLine="640" w:firstLineChars="200"/>
        <w:rPr>
          <w:rFonts w:hint="eastAsia" w:eastAsia="方正黑体_GBK"/>
          <w:sz w:val="32"/>
        </w:rPr>
      </w:pPr>
    </w:p>
    <w:p>
      <w:pPr>
        <w:spacing w:line="600" w:lineRule="exact"/>
        <w:ind w:firstLine="640" w:firstLineChars="200"/>
        <w:rPr>
          <w:rFonts w:eastAsia="方正仿宋_GBK"/>
          <w:sz w:val="32"/>
          <w:szCs w:val="32"/>
        </w:rPr>
      </w:pPr>
      <w:r>
        <w:rPr>
          <w:rFonts w:eastAsia="方正仿宋_GBK"/>
          <w:b/>
          <w:sz w:val="32"/>
        </w:rPr>
        <w:t>部门预算公开联系人：</w:t>
      </w:r>
      <w:r>
        <w:rPr>
          <w:rFonts w:hint="eastAsia" w:eastAsia="方正仿宋_GBK"/>
          <w:b/>
          <w:sz w:val="32"/>
        </w:rPr>
        <w:t>廖鑫</w:t>
      </w:r>
      <w:r>
        <w:rPr>
          <w:rFonts w:eastAsia="方正仿宋_GBK"/>
          <w:b/>
          <w:sz w:val="32"/>
        </w:rPr>
        <w:t>联系方式：023-52210780</w:t>
      </w:r>
    </w:p>
    <w:p>
      <w:pPr>
        <w:spacing w:line="540" w:lineRule="exact"/>
        <w:jc w:val="center"/>
        <w:rPr>
          <w:rFonts w:eastAsia="方正小标宋_GBK"/>
          <w:sz w:val="44"/>
          <w:szCs w:val="44"/>
        </w:rPr>
      </w:pPr>
    </w:p>
    <w:p>
      <w:pPr>
        <w:spacing w:line="540" w:lineRule="exact"/>
        <w:jc w:val="center"/>
        <w:rPr>
          <w:rFonts w:eastAsia="方正小标宋_GBK"/>
          <w:sz w:val="44"/>
          <w:szCs w:val="44"/>
        </w:rPr>
      </w:pPr>
    </w:p>
    <w:p>
      <w:pPr>
        <w:rPr>
          <w:rFonts w:hint="eastAsia"/>
        </w:rPr>
      </w:pPr>
    </w:p>
    <w:p>
      <w:pPr>
        <w:rPr>
          <w:rFonts w:hint="eastAsia"/>
        </w:rPr>
      </w:pPr>
    </w:p>
    <w:p>
      <w:pPr>
        <w:spacing w:line="540" w:lineRule="exact"/>
        <w:jc w:val="center"/>
        <w:rPr>
          <w:rFonts w:eastAsia="方正仿宋_GBK"/>
          <w:sz w:val="32"/>
          <w:szCs w:val="32"/>
        </w:rPr>
      </w:pPr>
      <w:r>
        <w:rPr>
          <w:rFonts w:hint="eastAsia" w:eastAsia="方正仿宋_GBK"/>
          <w:sz w:val="32"/>
          <w:szCs w:val="32"/>
        </w:rPr>
        <w:t xml:space="preserve">                         </w:t>
      </w:r>
      <w:r>
        <w:rPr>
          <w:rFonts w:eastAsia="方正仿宋_GBK"/>
          <w:sz w:val="32"/>
          <w:szCs w:val="32"/>
        </w:rPr>
        <w:t>重庆市开州区教育服务中心</w:t>
      </w:r>
    </w:p>
    <w:p>
      <w:pPr>
        <w:spacing w:line="540" w:lineRule="exact"/>
        <w:jc w:val="center"/>
        <w:rPr>
          <w:rFonts w:eastAsia="方正仿宋_GBK"/>
          <w:sz w:val="32"/>
          <w:szCs w:val="32"/>
        </w:rPr>
      </w:pPr>
      <w:r>
        <w:rPr>
          <w:rFonts w:eastAsia="方正仿宋_GBK"/>
          <w:sz w:val="32"/>
          <w:szCs w:val="32"/>
        </w:rPr>
        <w:t xml:space="preserve">　                  </w:t>
      </w:r>
      <w:r>
        <w:rPr>
          <w:rFonts w:hint="eastAsia" w:eastAsia="方正仿宋_GBK"/>
          <w:sz w:val="32"/>
          <w:szCs w:val="32"/>
        </w:rPr>
        <w:t xml:space="preserve">   </w:t>
      </w:r>
      <w:r>
        <w:rPr>
          <w:rFonts w:eastAsia="方正仿宋_GBK"/>
          <w:sz w:val="32"/>
          <w:szCs w:val="32"/>
        </w:rPr>
        <w:t xml:space="preserve">   2024年3月21日</w:t>
      </w: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80" w:firstLineChars="100"/>
        <w:jc w:val="left"/>
        <w:rPr>
          <w:rFonts w:hint="eastAsia" w:eastAsia="方正仿宋_GBK"/>
          <w:kern w:val="0"/>
          <w:sz w:val="28"/>
          <w:szCs w:val="28"/>
        </w:rPr>
      </w:pPr>
    </w:p>
    <w:p>
      <w:pPr>
        <w:overflowPunct w:val="0"/>
        <w:spacing w:line="480" w:lineRule="exact"/>
        <w:ind w:firstLine="210" w:firstLineChars="100"/>
        <w:jc w:val="left"/>
      </w:pPr>
      <w:r>
        <mc:AlternateContent>
          <mc:Choice Requires="wps">
            <w:drawing>
              <wp:anchor distT="0" distB="0" distL="114300" distR="114300" simplePos="0" relativeHeight="251660288" behindDoc="0" locked="0" layoutInCell="1" allowOverlap="1">
                <wp:simplePos x="0" y="0"/>
                <wp:positionH relativeFrom="margin">
                  <wp:posOffset>52070</wp:posOffset>
                </wp:positionH>
                <wp:positionV relativeFrom="paragraph">
                  <wp:posOffset>341630</wp:posOffset>
                </wp:positionV>
                <wp:extent cx="5615940" cy="0"/>
                <wp:effectExtent l="0" t="0" r="22860" b="19050"/>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1pt;margin-top:26.9pt;height:0pt;width:442.2pt;mso-position-horizontal-relative:margin;z-index:251660288;mso-width-relative:page;mso-height-relative:page;" filled="f" stroked="t" coordsize="21600,21600" o:gfxdata="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DaxjetQAAAAHAQAA&#10;DwAAAAAAAAABACAAAAAiAAAAZHJzL2Rvd25yZXYueG1sUEsBAhQAFAAAAAgAh07iQM3ws+HkAQAA&#10;qgMAAA4AAAAAAAAAAQAgAAAAIwEAAGRycy9lMm9Eb2MueG1sUEsFBgAAAAAGAAYAWQEAAHkFAAAA&#10;AA==&#10;">
                <v:fill on="f" focussize="0,0"/>
                <v:stroke color="#000000" joinstyle="round"/>
                <v:imagedata o:title=""/>
                <o:lock v:ext="edit" aspectratio="f"/>
              </v:line>
            </w:pict>
          </mc:Fallback>
        </mc:AlternateContent>
      </w:r>
      <w:r>
        <mc:AlternateContent>
          <mc:Choice Requires="wps">
            <w:drawing>
              <wp:anchor distT="0" distB="0" distL="114300" distR="114300" simplePos="0" relativeHeight="251661312" behindDoc="0" locked="0" layoutInCell="1" allowOverlap="1">
                <wp:simplePos x="0" y="0"/>
                <wp:positionH relativeFrom="margin">
                  <wp:posOffset>52070</wp:posOffset>
                </wp:positionH>
                <wp:positionV relativeFrom="paragraph">
                  <wp:posOffset>12700</wp:posOffset>
                </wp:positionV>
                <wp:extent cx="5615940" cy="0"/>
                <wp:effectExtent l="0" t="0" r="22860" b="19050"/>
                <wp:wrapNone/>
                <wp:docPr id="1" name="直接连接符 1"/>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ln>
                      </wps:spPr>
                      <wps:bodyPr/>
                    </wps:wsp>
                  </a:graphicData>
                </a:graphic>
              </wp:anchor>
            </w:drawing>
          </mc:Choice>
          <mc:Fallback>
            <w:pict>
              <v:line id="_x0000_s1026" o:spid="_x0000_s1026" o:spt="20" style="position:absolute;left:0pt;margin-left:4.1pt;margin-top:1pt;height:0pt;width:442.2pt;mso-position-horizontal-relative:margin;z-index:251661312;mso-width-relative:page;mso-height-relative:page;" filled="f" stroked="t" coordsize="21600,21600" o:gfxdata="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a1cSPdMAAAAFAQAADwAA&#10;AAAAAAABACAAAAAiAAAAZHJzL2Rvd25yZXYueG1sUEsBAhQAFAAAAAgAh07iQBl7sEXiAQAAqgMA&#10;AA4AAAAAAAAAAQAgAAAAIgEAAGRycy9lMm9Eb2MueG1sUEsFBgAAAAAGAAYAWQEAAHYFAAAAAA==&#10;">
                <v:fill on="f" focussize="0,0"/>
                <v:stroke color="#000000" joinstyle="round"/>
                <v:imagedata o:title=""/>
                <o:lock v:ext="edit" aspectratio="f"/>
              </v:line>
            </w:pict>
          </mc:Fallback>
        </mc:AlternateContent>
      </w:r>
      <w:r>
        <w:rPr>
          <w:rFonts w:eastAsia="方正仿宋_GBK"/>
          <w:kern w:val="0"/>
          <w:sz w:val="28"/>
          <w:szCs w:val="28"/>
        </w:rPr>
        <w:t>重庆市开州区教育服务中心</w:t>
      </w:r>
      <w:r>
        <w:rPr>
          <w:rFonts w:hint="eastAsia" w:eastAsia="方正仿宋_GBK"/>
          <w:kern w:val="0"/>
          <w:sz w:val="28"/>
          <w:szCs w:val="28"/>
        </w:rPr>
        <w:t xml:space="preserve">    </w:t>
      </w:r>
      <w:r>
        <w:rPr>
          <w:rFonts w:eastAsia="方正仿宋_GBK"/>
          <w:kern w:val="0"/>
          <w:sz w:val="28"/>
          <w:szCs w:val="28"/>
        </w:rPr>
        <w:t>　            2024年3月21日印发</w:t>
      </w:r>
    </w:p>
    <w:sectPr>
      <w:headerReference r:id="rId5" w:type="first"/>
      <w:footerReference r:id="rId8" w:type="first"/>
      <w:headerReference r:id="rId3" w:type="default"/>
      <w:footerReference r:id="rId6" w:type="default"/>
      <w:headerReference r:id="rId4" w:type="even"/>
      <w:footerReference r:id="rId7" w:type="even"/>
      <w:pgSz w:w="11906" w:h="16838"/>
      <w:pgMar w:top="1985"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方正楷体_GBK">
    <w:altName w:val="微软雅黑"/>
    <w:panose1 w:val="03000509000000000000"/>
    <w:charset w:val="86"/>
    <w:family w:val="script"/>
    <w:pitch w:val="default"/>
    <w:sig w:usb0="00000000" w:usb1="00000000" w:usb2="00000010" w:usb3="00000000" w:csb0="00040000" w:csb1="00000000"/>
  </w:font>
  <w:font w:name="方正仿宋_GBK">
    <w:altName w:val="微软雅黑"/>
    <w:panose1 w:val="03000509000000000000"/>
    <w:charset w:val="86"/>
    <w:family w:val="script"/>
    <w:pitch w:val="default"/>
    <w:sig w:usb0="00000000" w:usb1="00000000" w:usb2="0000001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方正黑体_GBK">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210" w:rightChars="100"/>
      <w:jc w:val="right"/>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7</w:t>
    </w:r>
    <w:r>
      <w:rPr>
        <w:rFonts w:ascii="宋体" w:hAnsi="宋体"/>
        <w:sz w:val="28"/>
      </w:rPr>
      <w:fldChar w:fldCharType="end"/>
    </w:r>
    <w:r>
      <w:rPr>
        <w:rFonts w:ascii="宋体" w:hAnsi="宋体"/>
        <w:sz w:val="2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280" w:firstLineChars="100"/>
      <w:rPr>
        <w:rFonts w:ascii="宋体" w:hAnsi="宋体"/>
        <w:sz w:val="28"/>
      </w:rPr>
    </w:pPr>
    <w:r>
      <w:rPr>
        <w:rFonts w:hint="eastAsia" w:ascii="宋体" w:hAnsi="宋体"/>
        <w:sz w:val="28"/>
      </w:rPr>
      <w:t>—</w:t>
    </w:r>
    <w:r>
      <w:rPr>
        <w:rFonts w:ascii="宋体" w:hAnsi="宋体"/>
        <w:sz w:val="28"/>
      </w:rPr>
      <w:t xml:space="preserve"> </w:t>
    </w:r>
    <w:r>
      <w:rPr>
        <w:rFonts w:ascii="宋体" w:hAnsi="宋体"/>
        <w:sz w:val="28"/>
      </w:rPr>
      <w:fldChar w:fldCharType="begin"/>
    </w:r>
    <w:r>
      <w:rPr>
        <w:rFonts w:ascii="宋体" w:hAnsi="宋体"/>
        <w:sz w:val="28"/>
      </w:rPr>
      <w:instrText xml:space="preserve"> PAGE \* Arabic \* MERGEFORMAT </w:instrText>
    </w:r>
    <w:r>
      <w:rPr>
        <w:rFonts w:ascii="宋体" w:hAnsi="宋体"/>
        <w:sz w:val="28"/>
      </w:rPr>
      <w:fldChar w:fldCharType="separate"/>
    </w:r>
    <w:r>
      <w:rPr>
        <w:rFonts w:ascii="宋体" w:hAnsi="宋体"/>
        <w:sz w:val="28"/>
      </w:rPr>
      <w:t>8</w:t>
    </w:r>
    <w:r>
      <w:rPr>
        <w:rFonts w:ascii="宋体" w:hAnsi="宋体"/>
        <w:sz w:val="28"/>
      </w:rPr>
      <w:fldChar w:fldCharType="end"/>
    </w:r>
    <w:r>
      <w:rPr>
        <w:rFonts w:ascii="宋体" w:hAnsi="宋体"/>
        <w:sz w:val="28"/>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evenAndOddHeaders w:val="1"/>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YzNzYzYzdhNWM2ZDU3ZDgxYWY4YzdlZjliZTcyYWEifQ=="/>
  </w:docVars>
  <w:rsids>
    <w:rsidRoot w:val="1B52551C"/>
    <w:rsid w:val="00132DDC"/>
    <w:rsid w:val="004D1B3E"/>
    <w:rsid w:val="00577C34"/>
    <w:rsid w:val="005B1FF8"/>
    <w:rsid w:val="00937B90"/>
    <w:rsid w:val="00D424FF"/>
    <w:rsid w:val="03D3226C"/>
    <w:rsid w:val="0A1F0DB5"/>
    <w:rsid w:val="0DE00CB6"/>
    <w:rsid w:val="108550E0"/>
    <w:rsid w:val="110A60E1"/>
    <w:rsid w:val="12F64B6E"/>
    <w:rsid w:val="18975B43"/>
    <w:rsid w:val="1B52551C"/>
    <w:rsid w:val="1B9B6711"/>
    <w:rsid w:val="1ED80AE7"/>
    <w:rsid w:val="201D539F"/>
    <w:rsid w:val="2AC379A6"/>
    <w:rsid w:val="2C6E14BB"/>
    <w:rsid w:val="2D6F3B2A"/>
    <w:rsid w:val="2F846FA6"/>
    <w:rsid w:val="34E71B79"/>
    <w:rsid w:val="36207032"/>
    <w:rsid w:val="36D52B69"/>
    <w:rsid w:val="382B073E"/>
    <w:rsid w:val="3B506C62"/>
    <w:rsid w:val="3E742234"/>
    <w:rsid w:val="43A10D69"/>
    <w:rsid w:val="45FD5513"/>
    <w:rsid w:val="4847477A"/>
    <w:rsid w:val="51152F96"/>
    <w:rsid w:val="5831567F"/>
    <w:rsid w:val="5A464294"/>
    <w:rsid w:val="5B461090"/>
    <w:rsid w:val="5DF4063C"/>
    <w:rsid w:val="63307AE0"/>
    <w:rsid w:val="655F3DA8"/>
    <w:rsid w:val="65F72D7D"/>
    <w:rsid w:val="68413407"/>
    <w:rsid w:val="6A871D32"/>
    <w:rsid w:val="70BE20A5"/>
    <w:rsid w:val="71116B5F"/>
    <w:rsid w:val="7185761D"/>
    <w:rsid w:val="799122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Body Text Indent"/>
    <w:basedOn w:val="1"/>
    <w:qFormat/>
    <w:uiPriority w:val="0"/>
    <w:pPr>
      <w:ind w:firstLine="640" w:firstLineChars="200"/>
    </w:pPr>
    <w:rPr>
      <w:rFonts w:ascii="仿宋_GB2312" w:eastAsia="仿宋_GB2312"/>
      <w:sz w:val="32"/>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kern w:val="0"/>
      <w:sz w:val="24"/>
    </w:rPr>
  </w:style>
  <w:style w:type="paragraph" w:styleId="8">
    <w:name w:val="List Paragraph"/>
    <w:basedOn w:val="1"/>
    <w:qFormat/>
    <w:uiPriority w:val="34"/>
    <w:pPr>
      <w:ind w:firstLine="420" w:firstLineChars="200"/>
    </w:pPr>
    <w:rPr>
      <w:rFonts w:ascii="Calibri" w:hAnsi="Calibri"/>
      <w:szCs w:val="22"/>
    </w:rPr>
  </w:style>
  <w:style w:type="character" w:customStyle="1" w:styleId="9">
    <w:name w:val="页眉 Char"/>
    <w:basedOn w:val="7"/>
    <w:link w:val="4"/>
    <w:autoRedefine/>
    <w:qFormat/>
    <w:uiPriority w:val="0"/>
    <w:rPr>
      <w:kern w:val="2"/>
      <w:sz w:val="18"/>
      <w:szCs w:val="18"/>
    </w:rPr>
  </w:style>
  <w:style w:type="character" w:customStyle="1" w:styleId="10">
    <w:name w:val="页脚 Char"/>
    <w:basedOn w:val="7"/>
    <w:link w:val="3"/>
    <w:uiPriority w:val="0"/>
    <w:rPr>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412</Words>
  <Characters>2350</Characters>
  <Lines>19</Lines>
  <Paragraphs>5</Paragraphs>
  <TotalTime>7</TotalTime>
  <ScaleCrop>false</ScaleCrop>
  <LinksUpToDate>false</LinksUpToDate>
  <CharactersWithSpaces>2757</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2024-03-04T09:16:00Z</dcterms:created>
  <dc:creator>周小勇</dc:creator>
  <cp:lastModifiedBy>Administrator</cp:lastModifiedBy>
  <dcterms:modified xsi:type="dcterms:W3CDTF">2024-03-29T01:54:34Z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BFD6087A350F43F68FC0FA6A474B6525_11</vt:lpwstr>
  </property>
</Properties>
</file>