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黑体"/>
          <w:szCs w:val="21"/>
        </w:rPr>
      </w:pPr>
      <w:bookmarkStart w:id="1" w:name="_GoBack"/>
      <w:bookmarkEnd w:id="1"/>
    </w:p>
    <w:p>
      <w:pPr>
        <w:spacing w:line="600" w:lineRule="exact"/>
        <w:jc w:val="center"/>
        <w:rPr>
          <w:rFonts w:eastAsia="黑体"/>
          <w:szCs w:val="21"/>
        </w:rPr>
      </w:pPr>
    </w:p>
    <w:p>
      <w:pPr>
        <w:spacing w:line="600" w:lineRule="exact"/>
        <w:jc w:val="center"/>
        <w:rPr>
          <w:rFonts w:eastAsia="黑体"/>
          <w:szCs w:val="21"/>
        </w:rPr>
      </w:pPr>
    </w:p>
    <w:p>
      <w:pPr>
        <w:spacing w:line="600" w:lineRule="exact"/>
        <w:jc w:val="center"/>
        <w:rPr>
          <w:rFonts w:eastAsia="黑体"/>
          <w:szCs w:val="21"/>
        </w:rPr>
      </w:pPr>
    </w:p>
    <w:p>
      <w:pPr>
        <w:spacing w:line="1200" w:lineRule="exact"/>
        <w:jc w:val="center"/>
        <w:rPr>
          <w:rFonts w:eastAsia="黑体"/>
          <w:b/>
          <w:bCs/>
          <w:sz w:val="36"/>
        </w:rPr>
      </w:pPr>
      <w:r>
        <w:rPr>
          <w:rFonts w:eastAsia="方正小标宋_GBK"/>
          <w:b/>
          <w:bCs/>
          <w:color w:val="FF0000"/>
          <w:spacing w:val="1"/>
          <w:w w:val="51"/>
          <w:kern w:val="0"/>
          <w:sz w:val="120"/>
          <w:szCs w:val="120"/>
          <w:fitText w:val="8580" w:id="-1016966142"/>
        </w:rPr>
        <w:t>重庆市开州区九龙山镇中心小</w:t>
      </w:r>
      <w:r>
        <w:rPr>
          <w:rFonts w:eastAsia="方正小标宋_GBK"/>
          <w:b/>
          <w:bCs/>
          <w:color w:val="FF0000"/>
          <w:spacing w:val="-4"/>
          <w:w w:val="51"/>
          <w:kern w:val="0"/>
          <w:sz w:val="120"/>
          <w:szCs w:val="120"/>
          <w:fitText w:val="8580" w:id="-1016966142"/>
        </w:rPr>
        <w:t>学</w:t>
      </w:r>
    </w:p>
    <w:p>
      <w:pPr>
        <w:spacing w:line="100" w:lineRule="exact"/>
        <w:jc w:val="center"/>
        <w:rPr>
          <w:rFonts w:eastAsia="黑体"/>
          <w:sz w:val="36"/>
        </w:rPr>
      </w:pPr>
    </w:p>
    <w:p>
      <w:pPr>
        <w:overflowPunct w:val="0"/>
        <w:spacing w:line="620" w:lineRule="exact"/>
        <w:ind w:firstLine="575"/>
        <w:rPr>
          <w:w w:val="90"/>
          <w:sz w:val="32"/>
          <w:szCs w:val="32"/>
        </w:rPr>
      </w:pPr>
    </w:p>
    <w:p>
      <w:pPr>
        <w:spacing w:line="600" w:lineRule="exact"/>
        <w:jc w:val="center"/>
        <w:rPr>
          <w:rFonts w:eastAsia="方正仿宋_GBK"/>
          <w:sz w:val="32"/>
          <w:szCs w:val="32"/>
        </w:rPr>
      </w:pPr>
      <w:r>
        <w:rPr>
          <w:rFonts w:eastAsia="方正仿宋_GBK"/>
          <w:sz w:val="32"/>
        </w:rPr>
        <w:t>开州九小</w:t>
      </w:r>
      <w:r>
        <w:rPr>
          <w:rFonts w:eastAsia="方正仿宋_GBK"/>
          <w:color w:val="000000"/>
          <w:sz w:val="32"/>
          <w:szCs w:val="32"/>
        </w:rPr>
        <w:t>〔2024〕</w:t>
      </w:r>
      <w:r>
        <w:rPr>
          <w:rFonts w:eastAsia="方正仿宋_GBK"/>
          <w:sz w:val="32"/>
          <w:szCs w:val="32"/>
        </w:rPr>
        <w:t>1</w:t>
      </w:r>
      <w:r>
        <w:rPr>
          <w:rFonts w:eastAsia="方正仿宋_GBK"/>
          <w:sz w:val="32"/>
        </w:rPr>
        <w:t>号                签发人：</w:t>
      </w:r>
      <w:r>
        <w:rPr>
          <w:rFonts w:eastAsia="方正楷体_GBK"/>
          <w:sz w:val="32"/>
        </w:rPr>
        <w:t>李宏文</w:t>
      </w:r>
    </w:p>
    <w:p>
      <w:pPr>
        <w:spacing w:line="300" w:lineRule="exact"/>
        <w:rPr>
          <w:rFonts w:eastAsia="方正小标宋简体"/>
          <w:sz w:val="42"/>
          <w:szCs w:val="44"/>
          <w:u w:val="thick" w:color="FF0000"/>
        </w:rPr>
      </w:pPr>
      <w:r>
        <w:rPr>
          <w:rFonts w:eastAsia="方正小标宋简体"/>
          <w:sz w:val="42"/>
          <w:szCs w:val="44"/>
          <w:u w:val="thick" w:color="FF0000"/>
        </w:rPr>
        <w:t xml:space="preserve">                                            </w:t>
      </w:r>
      <w:bookmarkStart w:id="0" w:name="_Hlk161228755"/>
      <w:r>
        <w:rPr>
          <w:rFonts w:eastAsia="方正小标宋简体"/>
          <w:sz w:val="42"/>
          <w:szCs w:val="44"/>
          <w:u w:val="thick" w:color="FF0000"/>
        </w:rPr>
        <w:t xml:space="preserve"> </w:t>
      </w:r>
    </w:p>
    <w:bookmarkEnd w:id="0"/>
    <w:p>
      <w:pPr>
        <w:overflowPunct w:val="0"/>
        <w:spacing w:line="600" w:lineRule="exact"/>
        <w:ind w:firstLine="879"/>
        <w:jc w:val="center"/>
        <w:rPr>
          <w:rFonts w:eastAsia="方正小标宋_GBK"/>
          <w:sz w:val="44"/>
          <w:szCs w:val="44"/>
        </w:rPr>
      </w:pPr>
    </w:p>
    <w:p>
      <w:pPr>
        <w:overflowPunct w:val="0"/>
        <w:spacing w:line="600" w:lineRule="exact"/>
        <w:ind w:firstLine="879"/>
        <w:jc w:val="center"/>
        <w:rPr>
          <w:rFonts w:eastAsia="方正小标宋_GBK"/>
          <w:sz w:val="44"/>
          <w:szCs w:val="44"/>
        </w:rPr>
      </w:pPr>
    </w:p>
    <w:p>
      <w:pPr>
        <w:pStyle w:val="2"/>
        <w:spacing w:line="600" w:lineRule="exact"/>
        <w:ind w:firstLine="0" w:firstLineChars="0"/>
        <w:jc w:val="center"/>
        <w:rPr>
          <w:rFonts w:ascii="Times New Roman" w:eastAsia="方正小标宋_GBK"/>
          <w:szCs w:val="32"/>
        </w:rPr>
      </w:pPr>
      <w:r>
        <w:rPr>
          <w:rFonts w:ascii="Times New Roman" w:eastAsia="方正小标宋_GBK"/>
          <w:color w:val="000000"/>
          <w:sz w:val="44"/>
          <w:szCs w:val="44"/>
        </w:rPr>
        <w:t>重庆市开州区九龙山镇中心小学</w:t>
      </w:r>
      <w:r>
        <w:rPr>
          <w:rFonts w:ascii="Times New Roman" w:eastAsia="方正小标宋_GBK"/>
          <w:color w:val="000000"/>
          <w:sz w:val="44"/>
          <w:szCs w:val="44"/>
        </w:rPr>
        <w:tab/>
      </w:r>
    </w:p>
    <w:p>
      <w:pPr>
        <w:spacing w:line="600" w:lineRule="exact"/>
        <w:jc w:val="center"/>
        <w:rPr>
          <w:rFonts w:eastAsia="方正小标宋_GBK"/>
          <w:sz w:val="44"/>
          <w:szCs w:val="44"/>
        </w:rPr>
      </w:pPr>
      <w:r>
        <w:rPr>
          <w:rFonts w:eastAsia="方正小标宋_GBK"/>
          <w:sz w:val="44"/>
          <w:szCs w:val="44"/>
        </w:rPr>
        <w:t>关于2024年部门预算情况公开的公告</w:t>
      </w:r>
    </w:p>
    <w:p>
      <w:pPr>
        <w:spacing w:line="600" w:lineRule="atLeast"/>
        <w:jc w:val="center"/>
        <w:rPr>
          <w:rFonts w:eastAsia="方正小标宋_GBK"/>
          <w:sz w:val="44"/>
          <w:szCs w:val="44"/>
        </w:rPr>
      </w:pPr>
    </w:p>
    <w:p>
      <w:pPr>
        <w:spacing w:line="600" w:lineRule="atLeast"/>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重庆市开州区财政局《关于批复2024年区级部门预算的通知》（开州财教发〔2024〕10号）及重庆市开州区教育委员会《关于批复2024年部门预算的通知》（开州教财〔2024〕3号）要求,现将重庆市开州区九龙山镇中心小学2024年部门预算批复情况公开如下：</w:t>
      </w:r>
    </w:p>
    <w:p>
      <w:pPr>
        <w:spacing w:line="600" w:lineRule="atLeast"/>
        <w:jc w:val="center"/>
        <w:rPr>
          <w:rFonts w:eastAsia="方正小标宋_GBK"/>
          <w:sz w:val="44"/>
          <w:szCs w:val="44"/>
        </w:rPr>
      </w:pPr>
      <w:r>
        <w:rPr>
          <w:rFonts w:eastAsia="方正仿宋_GBK"/>
          <w:sz w:val="32"/>
          <w:szCs w:val="32"/>
        </w:rPr>
        <w:br w:type="page"/>
      </w:r>
      <w:r>
        <w:rPr>
          <w:rFonts w:eastAsia="方正小标宋_GBK"/>
          <w:sz w:val="44"/>
          <w:szCs w:val="44"/>
        </w:rPr>
        <w:t>目    录</w:t>
      </w:r>
    </w:p>
    <w:p>
      <w:pPr>
        <w:spacing w:line="600" w:lineRule="atLeast"/>
      </w:pPr>
    </w:p>
    <w:p>
      <w:pPr>
        <w:spacing w:line="600" w:lineRule="atLeast"/>
        <w:jc w:val="center"/>
        <w:rPr>
          <w:rFonts w:eastAsia="方正楷体_GBK"/>
          <w:sz w:val="32"/>
          <w:szCs w:val="32"/>
        </w:rPr>
      </w:pPr>
      <w:r>
        <w:rPr>
          <w:rFonts w:eastAsia="方正楷体_GBK"/>
          <w:sz w:val="32"/>
          <w:szCs w:val="32"/>
        </w:rPr>
        <w:t>第一部分：2024年部门预算情况说明</w:t>
      </w:r>
    </w:p>
    <w:p>
      <w:pPr>
        <w:spacing w:line="600" w:lineRule="atLeast"/>
      </w:pPr>
    </w:p>
    <w:p>
      <w:pPr>
        <w:spacing w:line="600" w:lineRule="atLeast"/>
        <w:rPr>
          <w:rFonts w:eastAsia="方正仿宋_GBK"/>
          <w:sz w:val="32"/>
          <w:szCs w:val="32"/>
        </w:rPr>
      </w:pPr>
      <w:r>
        <w:rPr>
          <w:rFonts w:eastAsia="方正仿宋_GBK"/>
          <w:sz w:val="32"/>
          <w:szCs w:val="32"/>
        </w:rPr>
        <w:t>一、单位基本情况</w:t>
      </w:r>
    </w:p>
    <w:p>
      <w:pPr>
        <w:spacing w:line="600" w:lineRule="atLeast"/>
        <w:rPr>
          <w:rFonts w:eastAsia="方正仿宋_GBK"/>
          <w:sz w:val="32"/>
          <w:szCs w:val="32"/>
        </w:rPr>
      </w:pPr>
      <w:r>
        <w:rPr>
          <w:rFonts w:eastAsia="方正仿宋_GBK"/>
          <w:sz w:val="32"/>
          <w:szCs w:val="32"/>
        </w:rPr>
        <w:t>二、部门收支总体情况</w:t>
      </w:r>
    </w:p>
    <w:p>
      <w:pPr>
        <w:spacing w:line="600" w:lineRule="atLeast"/>
        <w:rPr>
          <w:rFonts w:eastAsia="方正仿宋_GBK"/>
          <w:sz w:val="32"/>
          <w:szCs w:val="32"/>
        </w:rPr>
      </w:pPr>
      <w:r>
        <w:rPr>
          <w:rFonts w:eastAsia="方正仿宋_GBK"/>
          <w:sz w:val="32"/>
          <w:szCs w:val="32"/>
        </w:rPr>
        <w:t>三、部门预算情况说明</w:t>
      </w:r>
    </w:p>
    <w:p>
      <w:pPr>
        <w:spacing w:line="600" w:lineRule="atLeast"/>
        <w:rPr>
          <w:rFonts w:eastAsia="方正仿宋_GBK"/>
          <w:sz w:val="32"/>
          <w:szCs w:val="32"/>
        </w:rPr>
      </w:pPr>
      <w:r>
        <w:rPr>
          <w:rFonts w:eastAsia="方正仿宋_GBK"/>
          <w:sz w:val="32"/>
          <w:szCs w:val="32"/>
        </w:rPr>
        <w:t>四、“三公”经费情况说明</w:t>
      </w:r>
    </w:p>
    <w:p>
      <w:pPr>
        <w:spacing w:line="600" w:lineRule="atLeast"/>
        <w:rPr>
          <w:rFonts w:eastAsia="方正仿宋_GBK"/>
          <w:sz w:val="32"/>
          <w:szCs w:val="32"/>
        </w:rPr>
      </w:pPr>
      <w:r>
        <w:rPr>
          <w:rFonts w:eastAsia="方正仿宋_GBK"/>
          <w:sz w:val="32"/>
          <w:szCs w:val="32"/>
        </w:rPr>
        <w:t>五、其他重要事项的情况说明</w:t>
      </w:r>
    </w:p>
    <w:p>
      <w:pPr>
        <w:spacing w:line="600" w:lineRule="atLeast"/>
        <w:rPr>
          <w:rFonts w:eastAsia="方正仿宋_GBK"/>
          <w:sz w:val="32"/>
          <w:szCs w:val="32"/>
        </w:rPr>
      </w:pPr>
      <w:r>
        <w:rPr>
          <w:rFonts w:eastAsia="方正仿宋_GBK"/>
          <w:sz w:val="32"/>
          <w:szCs w:val="32"/>
        </w:rPr>
        <w:t>六、专业性名词解释</w:t>
      </w:r>
    </w:p>
    <w:p>
      <w:pPr>
        <w:spacing w:line="600" w:lineRule="atLeast"/>
        <w:rPr>
          <w:rFonts w:eastAsia="方正仿宋_GBK"/>
          <w:sz w:val="32"/>
          <w:szCs w:val="32"/>
        </w:rPr>
      </w:pPr>
    </w:p>
    <w:p>
      <w:pPr>
        <w:spacing w:line="600" w:lineRule="atLeast"/>
        <w:jc w:val="center"/>
      </w:pPr>
      <w:r>
        <w:rPr>
          <w:rFonts w:eastAsia="方正楷体_GBK"/>
          <w:sz w:val="32"/>
          <w:szCs w:val="32"/>
        </w:rPr>
        <w:t>第二部分：2024年部门预算公开报表</w:t>
      </w:r>
    </w:p>
    <w:p>
      <w:pPr>
        <w:spacing w:line="600" w:lineRule="atLeast"/>
      </w:pPr>
    </w:p>
    <w:p>
      <w:pPr>
        <w:spacing w:line="600" w:lineRule="atLeast"/>
        <w:rPr>
          <w:rFonts w:eastAsia="方正仿宋_GBK"/>
          <w:sz w:val="32"/>
          <w:szCs w:val="32"/>
        </w:rPr>
      </w:pPr>
      <w:r>
        <w:rPr>
          <w:rFonts w:eastAsia="方正仿宋_GBK"/>
          <w:sz w:val="32"/>
          <w:szCs w:val="32"/>
        </w:rPr>
        <w:t>表1、重庆市开州区九龙山镇中心小学收支预算总表</w:t>
      </w:r>
    </w:p>
    <w:p>
      <w:pPr>
        <w:spacing w:line="600" w:lineRule="atLeast"/>
        <w:rPr>
          <w:rFonts w:eastAsia="方正仿宋_GBK"/>
          <w:sz w:val="32"/>
          <w:szCs w:val="32"/>
        </w:rPr>
      </w:pPr>
      <w:r>
        <w:rPr>
          <w:rFonts w:eastAsia="方正仿宋_GBK"/>
          <w:sz w:val="32"/>
          <w:szCs w:val="32"/>
        </w:rPr>
        <w:t>表2、重庆市开州区九龙山镇中心小学收入总表</w:t>
      </w:r>
    </w:p>
    <w:p>
      <w:pPr>
        <w:spacing w:line="600" w:lineRule="atLeast"/>
        <w:rPr>
          <w:rFonts w:eastAsia="方正仿宋_GBK"/>
          <w:sz w:val="32"/>
          <w:szCs w:val="32"/>
        </w:rPr>
      </w:pPr>
      <w:r>
        <w:rPr>
          <w:rFonts w:eastAsia="方正仿宋_GBK"/>
          <w:sz w:val="32"/>
          <w:szCs w:val="32"/>
        </w:rPr>
        <w:t>表3、重庆市开州区九龙山镇中心小学本年支出预算总表</w:t>
      </w:r>
    </w:p>
    <w:p>
      <w:pPr>
        <w:spacing w:line="600" w:lineRule="atLeast"/>
        <w:rPr>
          <w:rFonts w:eastAsia="方正仿宋_GBK"/>
          <w:sz w:val="32"/>
          <w:szCs w:val="32"/>
        </w:rPr>
      </w:pPr>
      <w:r>
        <w:rPr>
          <w:rFonts w:eastAsia="方正仿宋_GBK"/>
          <w:sz w:val="32"/>
          <w:szCs w:val="32"/>
        </w:rPr>
        <w:t>表4、重庆市开州区九龙山镇中心小学财政拨款收支预算总表</w:t>
      </w:r>
    </w:p>
    <w:p>
      <w:pPr>
        <w:spacing w:line="600" w:lineRule="atLeast"/>
        <w:rPr>
          <w:rFonts w:eastAsia="方正仿宋_GBK"/>
          <w:sz w:val="32"/>
          <w:szCs w:val="32"/>
        </w:rPr>
      </w:pPr>
      <w:r>
        <w:rPr>
          <w:rFonts w:eastAsia="方正仿宋_GBK"/>
          <w:sz w:val="32"/>
          <w:szCs w:val="32"/>
        </w:rPr>
        <w:t>表5、重庆市开州区九龙山镇中心小学本年一般公共预算支出预算表</w:t>
      </w:r>
    </w:p>
    <w:p>
      <w:pPr>
        <w:spacing w:line="600" w:lineRule="atLeast"/>
        <w:rPr>
          <w:rFonts w:eastAsia="方正仿宋_GBK"/>
          <w:sz w:val="32"/>
          <w:szCs w:val="32"/>
        </w:rPr>
      </w:pPr>
      <w:r>
        <w:rPr>
          <w:rFonts w:eastAsia="方正仿宋_GBK"/>
          <w:sz w:val="32"/>
          <w:szCs w:val="32"/>
        </w:rPr>
        <w:t>表6、重庆市开州区九龙山镇中心小学一般公共预算基本支出预算表</w:t>
      </w:r>
    </w:p>
    <w:p>
      <w:pPr>
        <w:spacing w:line="600" w:lineRule="atLeast"/>
        <w:rPr>
          <w:rFonts w:eastAsia="方正仿宋_GBK"/>
          <w:sz w:val="32"/>
          <w:szCs w:val="32"/>
        </w:rPr>
      </w:pPr>
      <w:r>
        <w:rPr>
          <w:rFonts w:eastAsia="方正仿宋_GBK"/>
          <w:sz w:val="32"/>
          <w:szCs w:val="32"/>
        </w:rPr>
        <w:t>表7、重庆市开州区九龙山镇中心小学一般公共预算“三公”经费支出预算表</w:t>
      </w:r>
    </w:p>
    <w:p>
      <w:pPr>
        <w:spacing w:line="600" w:lineRule="atLeast"/>
        <w:rPr>
          <w:rFonts w:eastAsia="方正仿宋_GBK"/>
          <w:sz w:val="32"/>
          <w:szCs w:val="32"/>
        </w:rPr>
      </w:pPr>
      <w:r>
        <w:rPr>
          <w:rFonts w:eastAsia="方正仿宋_GBK"/>
          <w:sz w:val="32"/>
          <w:szCs w:val="32"/>
        </w:rPr>
        <w:t>表8、重庆市开州区九龙山镇中心小学政府性基金预算支出预算表</w:t>
      </w:r>
    </w:p>
    <w:p>
      <w:pPr>
        <w:spacing w:line="600" w:lineRule="atLeast"/>
        <w:rPr>
          <w:rFonts w:eastAsia="方正仿宋_GBK"/>
          <w:sz w:val="32"/>
          <w:szCs w:val="32"/>
        </w:rPr>
      </w:pPr>
      <w:r>
        <w:rPr>
          <w:rFonts w:eastAsia="方正仿宋_GBK"/>
          <w:sz w:val="32"/>
          <w:szCs w:val="32"/>
        </w:rPr>
        <w:t>表9、重庆市开州区九龙山镇中心小学国有资本经营预算支出预算表</w:t>
      </w:r>
    </w:p>
    <w:p>
      <w:pPr>
        <w:spacing w:line="600" w:lineRule="atLeast"/>
        <w:rPr>
          <w:rFonts w:eastAsia="方正仿宋_GBK"/>
          <w:sz w:val="32"/>
          <w:szCs w:val="32"/>
        </w:rPr>
      </w:pPr>
      <w:r>
        <w:rPr>
          <w:rFonts w:eastAsia="方正仿宋_GBK"/>
          <w:sz w:val="32"/>
          <w:szCs w:val="32"/>
        </w:rPr>
        <w:t>表10、重庆市开州区九龙山镇中心小学项目支出表</w:t>
      </w:r>
    </w:p>
    <w:p>
      <w:pPr>
        <w:spacing w:line="600" w:lineRule="atLeast"/>
        <w:jc w:val="center"/>
        <w:rPr>
          <w:rFonts w:eastAsia="方正小标宋_GBK"/>
          <w:sz w:val="44"/>
          <w:szCs w:val="44"/>
        </w:rPr>
      </w:pPr>
      <w:r>
        <w:rPr>
          <w:rFonts w:eastAsia="方正仿宋_GBK"/>
          <w:sz w:val="32"/>
          <w:szCs w:val="32"/>
        </w:rPr>
        <w:br w:type="page"/>
      </w:r>
      <w:r>
        <w:rPr>
          <w:rFonts w:eastAsia="方正小标宋_GBK"/>
          <w:sz w:val="44"/>
          <w:szCs w:val="44"/>
        </w:rPr>
        <w:t>第一部分：2024年部门预算情况说明</w:t>
      </w:r>
    </w:p>
    <w:p>
      <w:pPr>
        <w:spacing w:line="600" w:lineRule="atLeast"/>
        <w:ind w:firstLine="880" w:firstLineChars="200"/>
        <w:jc w:val="center"/>
        <w:rPr>
          <w:rFonts w:eastAsia="华文中宋"/>
          <w:sz w:val="44"/>
          <w:szCs w:val="44"/>
        </w:rPr>
      </w:pPr>
    </w:p>
    <w:p>
      <w:pPr>
        <w:overflowPunct w:val="0"/>
        <w:spacing w:line="600" w:lineRule="atLeast"/>
        <w:ind w:left="640"/>
        <w:rPr>
          <w:rFonts w:eastAsia="方正黑体_GBK"/>
          <w:sz w:val="32"/>
        </w:rPr>
      </w:pPr>
      <w:r>
        <w:rPr>
          <w:rFonts w:eastAsia="方正黑体_GBK"/>
          <w:sz w:val="32"/>
        </w:rPr>
        <w:t>一、单位基本情况</w:t>
      </w:r>
    </w:p>
    <w:p>
      <w:pPr>
        <w:overflowPunct w:val="0"/>
        <w:spacing w:line="600" w:lineRule="atLeast"/>
        <w:ind w:firstLine="640" w:firstLineChars="200"/>
        <w:rPr>
          <w:rFonts w:eastAsia="方正楷体_GBK"/>
          <w:sz w:val="32"/>
        </w:rPr>
      </w:pPr>
      <w:r>
        <w:rPr>
          <w:rFonts w:eastAsia="方正楷体_GBK"/>
          <w:sz w:val="32"/>
        </w:rPr>
        <w:t>（一）职能职责</w:t>
      </w:r>
    </w:p>
    <w:p>
      <w:pPr>
        <w:pStyle w:val="8"/>
        <w:tabs>
          <w:tab w:val="center" w:pos="4153"/>
          <w:tab w:val="left" w:pos="7275"/>
        </w:tabs>
        <w:overflowPunct w:val="0"/>
        <w:spacing w:line="600" w:lineRule="atLeast"/>
        <w:ind w:firstLine="640"/>
        <w:rPr>
          <w:rFonts w:ascii="Times New Roman" w:hAnsi="Times New Roman" w:eastAsia="方正仿宋_GBK"/>
          <w:sz w:val="32"/>
          <w:szCs w:val="24"/>
        </w:rPr>
      </w:pPr>
      <w:r>
        <w:rPr>
          <w:rFonts w:ascii="Times New Roman" w:hAnsi="Times New Roman" w:eastAsia="方正仿宋_GBK"/>
          <w:sz w:val="32"/>
          <w:szCs w:val="24"/>
        </w:rPr>
        <w:t>1.组织实施教育教学活动，维护学校的教学秩序。</w:t>
      </w:r>
    </w:p>
    <w:p>
      <w:pPr>
        <w:pStyle w:val="8"/>
        <w:tabs>
          <w:tab w:val="center" w:pos="4153"/>
          <w:tab w:val="left" w:pos="7275"/>
        </w:tabs>
        <w:overflowPunct w:val="0"/>
        <w:spacing w:line="600" w:lineRule="atLeast"/>
        <w:ind w:firstLine="640"/>
        <w:rPr>
          <w:rFonts w:ascii="Times New Roman" w:hAnsi="Times New Roman" w:eastAsia="方正仿宋_GBK"/>
          <w:sz w:val="32"/>
          <w:szCs w:val="24"/>
        </w:rPr>
      </w:pPr>
      <w:r>
        <w:rPr>
          <w:rFonts w:ascii="Times New Roman" w:hAnsi="Times New Roman" w:eastAsia="方正仿宋_GBK"/>
          <w:sz w:val="32"/>
          <w:szCs w:val="24"/>
        </w:rPr>
        <w:t>2.对受教育者进行学籍管理，实施奖励或者处分，颁发相应的学业证书。</w:t>
      </w:r>
    </w:p>
    <w:p>
      <w:pPr>
        <w:pStyle w:val="8"/>
        <w:tabs>
          <w:tab w:val="center" w:pos="4153"/>
          <w:tab w:val="left" w:pos="7275"/>
        </w:tabs>
        <w:overflowPunct w:val="0"/>
        <w:spacing w:line="600" w:lineRule="atLeast"/>
        <w:ind w:firstLine="640"/>
        <w:rPr>
          <w:rFonts w:ascii="Times New Roman" w:hAnsi="Times New Roman" w:eastAsia="方正仿宋_GBK"/>
          <w:sz w:val="32"/>
          <w:szCs w:val="24"/>
        </w:rPr>
      </w:pPr>
      <w:r>
        <w:rPr>
          <w:rFonts w:ascii="Times New Roman" w:hAnsi="Times New Roman" w:eastAsia="方正仿宋_GBK"/>
          <w:sz w:val="32"/>
          <w:szCs w:val="24"/>
        </w:rPr>
        <w:t>3.聘任教职工，实施奖励或者处分。</w:t>
      </w:r>
    </w:p>
    <w:p>
      <w:pPr>
        <w:pStyle w:val="8"/>
        <w:tabs>
          <w:tab w:val="center" w:pos="4153"/>
          <w:tab w:val="left" w:pos="7275"/>
        </w:tabs>
        <w:overflowPunct w:val="0"/>
        <w:spacing w:line="600" w:lineRule="atLeast"/>
        <w:ind w:firstLine="640"/>
        <w:rPr>
          <w:rFonts w:ascii="Times New Roman" w:hAnsi="Times New Roman" w:eastAsia="方正仿宋_GBK"/>
          <w:sz w:val="32"/>
          <w:szCs w:val="24"/>
        </w:rPr>
      </w:pPr>
      <w:r>
        <w:rPr>
          <w:rFonts w:ascii="Times New Roman" w:hAnsi="Times New Roman" w:eastAsia="方正仿宋_GBK"/>
          <w:sz w:val="32"/>
          <w:szCs w:val="24"/>
        </w:rPr>
        <w:t>4.维护受教育者、教师及其他职工的合法权益。</w:t>
      </w:r>
    </w:p>
    <w:p>
      <w:pPr>
        <w:pStyle w:val="8"/>
        <w:tabs>
          <w:tab w:val="center" w:pos="4153"/>
          <w:tab w:val="left" w:pos="7275"/>
        </w:tabs>
        <w:overflowPunct w:val="0"/>
        <w:spacing w:line="600" w:lineRule="atLeast"/>
        <w:ind w:firstLine="640"/>
        <w:rPr>
          <w:rFonts w:ascii="Times New Roman" w:hAnsi="Times New Roman" w:eastAsia="方正仿宋_GBK"/>
          <w:sz w:val="32"/>
          <w:szCs w:val="24"/>
        </w:rPr>
      </w:pPr>
      <w:r>
        <w:rPr>
          <w:rFonts w:ascii="Times New Roman" w:hAnsi="Times New Roman" w:eastAsia="方正仿宋_GBK"/>
          <w:sz w:val="32"/>
          <w:szCs w:val="24"/>
        </w:rPr>
        <w:t>5.根据学校规模，设置学校管理机构，建立健全各项规章制度和岗位责任制；</w:t>
      </w:r>
    </w:p>
    <w:p>
      <w:pPr>
        <w:pStyle w:val="8"/>
        <w:tabs>
          <w:tab w:val="center" w:pos="4153"/>
          <w:tab w:val="left" w:pos="7275"/>
        </w:tabs>
        <w:overflowPunct w:val="0"/>
        <w:spacing w:line="600" w:lineRule="atLeast"/>
        <w:ind w:firstLine="640"/>
        <w:rPr>
          <w:rFonts w:ascii="Times New Roman" w:hAnsi="Times New Roman" w:eastAsia="方正仿宋_GBK"/>
          <w:sz w:val="32"/>
          <w:szCs w:val="24"/>
        </w:rPr>
      </w:pPr>
      <w:r>
        <w:rPr>
          <w:rFonts w:ascii="Times New Roman" w:hAnsi="Times New Roman" w:eastAsia="方正仿宋_GBK"/>
          <w:sz w:val="32"/>
          <w:szCs w:val="24"/>
        </w:rPr>
        <w:t>6.做好学校安全稳定工作和后勤保障服务工作。</w:t>
      </w:r>
    </w:p>
    <w:p>
      <w:pPr>
        <w:pStyle w:val="8"/>
        <w:tabs>
          <w:tab w:val="center" w:pos="4153"/>
          <w:tab w:val="left" w:pos="7275"/>
        </w:tabs>
        <w:overflowPunct w:val="0"/>
        <w:spacing w:line="600" w:lineRule="atLeast"/>
        <w:ind w:left="640" w:firstLine="0" w:firstLineChars="0"/>
        <w:rPr>
          <w:rFonts w:ascii="Times New Roman" w:hAnsi="Times New Roman" w:eastAsia="方正楷体_GBK"/>
          <w:sz w:val="32"/>
        </w:rPr>
      </w:pPr>
      <w:r>
        <w:rPr>
          <w:rFonts w:ascii="Times New Roman" w:hAnsi="Times New Roman" w:eastAsia="方正楷体_GBK"/>
          <w:sz w:val="32"/>
        </w:rPr>
        <w:t>（二）单位构成</w:t>
      </w:r>
    </w:p>
    <w:p>
      <w:pPr>
        <w:pStyle w:val="9"/>
        <w:tabs>
          <w:tab w:val="center" w:pos="4153"/>
          <w:tab w:val="left" w:pos="7275"/>
        </w:tabs>
        <w:spacing w:line="600" w:lineRule="atLeast"/>
        <w:ind w:firstLine="640"/>
        <w:jc w:val="left"/>
        <w:rPr>
          <w:rFonts w:ascii="Times New Roman" w:hAnsi="Times New Roman" w:eastAsia="方正仿宋_GBK"/>
          <w:sz w:val="32"/>
        </w:rPr>
      </w:pPr>
      <w:r>
        <w:rPr>
          <w:rFonts w:ascii="Times New Roman" w:hAnsi="Times New Roman" w:eastAsia="方正仿宋_GBK"/>
          <w:sz w:val="32"/>
        </w:rPr>
        <w:t>重庆市开州区九龙山镇中心小学内设4个机构处室，分别是总务处、大队部、教导处、安稳办。</w:t>
      </w:r>
    </w:p>
    <w:p>
      <w:pPr>
        <w:overflowPunct w:val="0"/>
        <w:spacing w:line="600" w:lineRule="atLeast"/>
        <w:ind w:left="640"/>
        <w:rPr>
          <w:rFonts w:eastAsia="方正仿宋_GBK"/>
          <w:sz w:val="32"/>
        </w:rPr>
      </w:pPr>
      <w:r>
        <w:rPr>
          <w:rFonts w:eastAsia="方正黑体_GBK"/>
          <w:sz w:val="32"/>
        </w:rPr>
        <w:t>二、部门收支总体情况</w:t>
      </w:r>
    </w:p>
    <w:p>
      <w:pPr>
        <w:overflowPunct w:val="0"/>
        <w:spacing w:line="600" w:lineRule="atLeast"/>
        <w:ind w:firstLine="640" w:firstLineChars="200"/>
        <w:rPr>
          <w:rFonts w:eastAsia="方正仿宋_GBK"/>
          <w:sz w:val="32"/>
        </w:rPr>
      </w:pPr>
      <w:r>
        <w:rPr>
          <w:rFonts w:eastAsia="方正楷体_GBK"/>
          <w:sz w:val="32"/>
        </w:rPr>
        <w:t>（一）收入预算：</w:t>
      </w:r>
      <w:r>
        <w:rPr>
          <w:rFonts w:eastAsia="方正仿宋_GBK"/>
          <w:sz w:val="32"/>
        </w:rPr>
        <w:t>2024年年初预算数1395.8万元（含上年结转</w:t>
      </w:r>
      <w:r>
        <w:rPr>
          <w:rFonts w:hint="eastAsia" w:eastAsia="方正仿宋_GBK"/>
          <w:sz w:val="32"/>
        </w:rPr>
        <w:t>75.45</w:t>
      </w:r>
      <w:r>
        <w:rPr>
          <w:rFonts w:eastAsia="方正仿宋_GBK"/>
          <w:sz w:val="32"/>
        </w:rPr>
        <w:t>万元），其中：一般公共预算拨款1320.35万元（含上年结转</w:t>
      </w:r>
      <w:r>
        <w:rPr>
          <w:rFonts w:hint="eastAsia" w:eastAsia="方正仿宋_GBK"/>
          <w:sz w:val="32"/>
        </w:rPr>
        <w:t>75.45</w:t>
      </w:r>
      <w:r>
        <w:rPr>
          <w:rFonts w:eastAsia="方正仿宋_GBK"/>
          <w:sz w:val="32"/>
        </w:rPr>
        <w:t>万元），政府性基金预算拨款0万元，国有资本经营预算收入0万元，事业收入0万元，事业单位经营收入0万元，其他收入0万元。收入较2023年增加48.09万元，主要是一般公共预算拨款增加48.09万元。</w:t>
      </w:r>
    </w:p>
    <w:p>
      <w:pPr>
        <w:overflowPunct w:val="0"/>
        <w:spacing w:line="600" w:lineRule="atLeast"/>
        <w:ind w:firstLine="640" w:firstLineChars="200"/>
        <w:rPr>
          <w:rFonts w:eastAsia="方正仿宋_GBK"/>
          <w:sz w:val="32"/>
        </w:rPr>
      </w:pPr>
      <w:r>
        <w:rPr>
          <w:rFonts w:eastAsia="方正楷体_GBK"/>
          <w:sz w:val="32"/>
        </w:rPr>
        <w:t>（二）支出预算：</w:t>
      </w:r>
      <w:r>
        <w:rPr>
          <w:rFonts w:eastAsia="方正仿宋_GBK"/>
          <w:sz w:val="32"/>
        </w:rPr>
        <w:t>2024年年初预算数1395.8万元，其中：教育支出预算1060.45万元，社会保障和就业支出预算219.1万元，卫生健康支出预算63.06万元，住房保障支出预算53.2万元。支出预算较2023年增加48.09万元，主要是基本支出预算减少20.48万元，项目支出预算增加68.57万元。</w:t>
      </w:r>
    </w:p>
    <w:p>
      <w:pPr>
        <w:overflowPunct w:val="0"/>
        <w:spacing w:line="600" w:lineRule="atLeast"/>
        <w:ind w:left="640"/>
        <w:rPr>
          <w:rFonts w:eastAsia="方正黑体_GBK"/>
          <w:sz w:val="32"/>
        </w:rPr>
      </w:pPr>
      <w:r>
        <w:rPr>
          <w:rFonts w:eastAsia="方正黑体_GBK"/>
          <w:sz w:val="32"/>
        </w:rPr>
        <w:t>三、部门预算情况说明</w:t>
      </w:r>
    </w:p>
    <w:p>
      <w:pPr>
        <w:overflowPunct w:val="0"/>
        <w:spacing w:line="600" w:lineRule="atLeast"/>
        <w:ind w:firstLine="640" w:firstLineChars="200"/>
        <w:rPr>
          <w:rFonts w:eastAsia="方正仿宋_GBK"/>
          <w:sz w:val="32"/>
        </w:rPr>
      </w:pPr>
      <w:r>
        <w:rPr>
          <w:rFonts w:eastAsia="方正仿宋_GBK"/>
          <w:sz w:val="32"/>
        </w:rPr>
        <w:t>2024年一般公共预算财政拨款收入1320.35 万元（含上年结转</w:t>
      </w:r>
      <w:r>
        <w:rPr>
          <w:rFonts w:hint="eastAsia" w:eastAsia="方正仿宋_GBK"/>
          <w:sz w:val="32"/>
        </w:rPr>
        <w:t>75.45</w:t>
      </w:r>
      <w:r>
        <w:rPr>
          <w:rFonts w:eastAsia="方正仿宋_GBK"/>
          <w:sz w:val="32"/>
        </w:rPr>
        <w:t>万元），一般公共预算财政拨款支出1320.35万元，比2023年减少27.36万元。其中：基本支出1172.67万元，比2023年减少20.48万元，主要原因是</w:t>
      </w:r>
      <w:r>
        <w:rPr>
          <w:rFonts w:hint="eastAsia" w:eastAsia="方正仿宋_GBK"/>
          <w:sz w:val="32"/>
        </w:rPr>
        <w:t>2024年</w:t>
      </w:r>
      <w:r>
        <w:rPr>
          <w:rFonts w:eastAsia="方正仿宋_GBK"/>
          <w:sz w:val="32"/>
        </w:rPr>
        <w:t>有两名</w:t>
      </w:r>
      <w:r>
        <w:rPr>
          <w:rFonts w:hint="eastAsia" w:eastAsia="方正仿宋_GBK"/>
          <w:sz w:val="32"/>
        </w:rPr>
        <w:t>在职</w:t>
      </w:r>
      <w:r>
        <w:rPr>
          <w:rFonts w:eastAsia="方正仿宋_GBK"/>
          <w:sz w:val="32"/>
        </w:rPr>
        <w:t>教师退休，</w:t>
      </w:r>
      <w:r>
        <w:rPr>
          <w:rFonts w:hint="eastAsia" w:eastAsia="方正仿宋_GBK"/>
          <w:sz w:val="32"/>
        </w:rPr>
        <w:t>学生人数减少，导致</w:t>
      </w:r>
      <w:r>
        <w:rPr>
          <w:rFonts w:eastAsia="方正仿宋_GBK"/>
          <w:sz w:val="32"/>
        </w:rPr>
        <w:t>人员经费</w:t>
      </w:r>
      <w:r>
        <w:rPr>
          <w:rFonts w:hint="eastAsia" w:eastAsia="方正仿宋_GBK"/>
          <w:sz w:val="32"/>
        </w:rPr>
        <w:t>和公用经费</w:t>
      </w:r>
      <w:r>
        <w:rPr>
          <w:rFonts w:eastAsia="方正仿宋_GBK"/>
          <w:sz w:val="32"/>
        </w:rPr>
        <w:t>减少，</w:t>
      </w:r>
      <w:r>
        <w:rPr>
          <w:rFonts w:hint="eastAsia" w:eastAsia="方正仿宋_GBK"/>
          <w:sz w:val="32"/>
        </w:rPr>
        <w:t>基本支出</w:t>
      </w:r>
      <w:r>
        <w:rPr>
          <w:rFonts w:eastAsia="方正仿宋_GBK"/>
          <w:sz w:val="32"/>
        </w:rPr>
        <w:t>主要用于保障教育系统在职人员工资福利及社会保险缴费，退休人员补助等，保障</w:t>
      </w:r>
      <w:r>
        <w:rPr>
          <w:rFonts w:hint="eastAsia" w:eastAsia="方正仿宋_GBK"/>
          <w:sz w:val="32"/>
        </w:rPr>
        <w:t>单位</w:t>
      </w:r>
      <w:r>
        <w:rPr>
          <w:rFonts w:eastAsia="方正仿宋_GBK"/>
          <w:sz w:val="32"/>
        </w:rPr>
        <w:t>正常运转的各项商品服务支出；项目支出223.13万元，比2023年增加68.57万元，主要原因是</w:t>
      </w:r>
      <w:r>
        <w:rPr>
          <w:rFonts w:hint="eastAsia" w:eastAsia="方正仿宋_GBK"/>
          <w:sz w:val="32"/>
        </w:rPr>
        <w:t>义务教育薄弱环节改善与能力提升及城乡义务教育经费保障机制预算资金增加等。项目资金主要用于学生资助、学前和义务教育学生营养改善计划、义教保障机制、义务教育薄弱环节改善与能力提升等重点工作。</w:t>
      </w:r>
    </w:p>
    <w:p>
      <w:pPr>
        <w:overflowPunct w:val="0"/>
        <w:spacing w:line="600" w:lineRule="atLeast"/>
        <w:ind w:firstLine="640" w:firstLineChars="200"/>
        <w:rPr>
          <w:rFonts w:eastAsia="方正仿宋_GBK"/>
          <w:sz w:val="32"/>
        </w:rPr>
      </w:pPr>
      <w:r>
        <w:rPr>
          <w:rFonts w:eastAsia="方正仿宋_GBK"/>
          <w:sz w:val="32"/>
        </w:rPr>
        <w:t>重庆市开州区九龙山镇中心小学2024年无使用政府性基金预算拨款安排的支出。</w:t>
      </w:r>
    </w:p>
    <w:p>
      <w:pPr>
        <w:overflowPunct w:val="0"/>
        <w:spacing w:line="600" w:lineRule="atLeast"/>
        <w:ind w:left="640"/>
        <w:rPr>
          <w:rFonts w:eastAsia="方正仿宋_GBK"/>
          <w:sz w:val="32"/>
        </w:rPr>
      </w:pPr>
      <w:r>
        <w:rPr>
          <w:rFonts w:eastAsia="方正黑体_GBK"/>
          <w:sz w:val="32"/>
        </w:rPr>
        <w:t>四、“三公”经费情况说明</w:t>
      </w:r>
    </w:p>
    <w:p>
      <w:pPr>
        <w:overflowPunct w:val="0"/>
        <w:spacing w:line="600" w:lineRule="atLeast"/>
        <w:ind w:firstLine="600"/>
        <w:rPr>
          <w:rFonts w:eastAsia="方正仿宋_GBK"/>
          <w:sz w:val="32"/>
        </w:rPr>
      </w:pPr>
      <w:r>
        <w:rPr>
          <w:rFonts w:eastAsia="方正仿宋_GBK"/>
          <w:sz w:val="32"/>
        </w:rPr>
        <w:t>重庆市开州区九龙山镇中心小学2024年无使用“三公”经费预算拨款安排的支出。</w:t>
      </w:r>
    </w:p>
    <w:p>
      <w:pPr>
        <w:overflowPunct w:val="0"/>
        <w:spacing w:line="600" w:lineRule="atLeast"/>
        <w:ind w:left="640"/>
        <w:rPr>
          <w:rFonts w:eastAsia="方正黑体_GBK"/>
          <w:sz w:val="32"/>
        </w:rPr>
      </w:pPr>
      <w:r>
        <w:rPr>
          <w:rFonts w:eastAsia="方正黑体_GBK"/>
          <w:sz w:val="32"/>
        </w:rPr>
        <w:t>五、其他重要事项的情况说明</w:t>
      </w:r>
    </w:p>
    <w:p>
      <w:pPr>
        <w:overflowPunct w:val="0"/>
        <w:spacing w:line="600" w:lineRule="atLeast"/>
        <w:ind w:firstLine="640" w:firstLineChars="200"/>
        <w:rPr>
          <w:rFonts w:eastAsia="方正仿宋_GBK"/>
          <w:sz w:val="32"/>
        </w:rPr>
      </w:pPr>
      <w:r>
        <w:rPr>
          <w:rFonts w:eastAsia="方正仿宋_GBK"/>
          <w:sz w:val="32"/>
        </w:rPr>
        <w:t>1．我单位不在机关运行经费统计范围之内。</w:t>
      </w:r>
    </w:p>
    <w:p>
      <w:pPr>
        <w:overflowPunct w:val="0"/>
        <w:spacing w:line="600" w:lineRule="exact"/>
        <w:ind w:firstLine="640" w:firstLineChars="200"/>
        <w:rPr>
          <w:rFonts w:eastAsia="方正仿宋_GBK"/>
          <w:sz w:val="32"/>
        </w:rPr>
      </w:pPr>
      <w:r>
        <w:rPr>
          <w:rFonts w:eastAsia="方正仿宋_GBK"/>
          <w:b/>
          <w:sz w:val="32"/>
        </w:rPr>
        <w:t>2．政府采购情况。</w:t>
      </w:r>
      <w:r>
        <w:rPr>
          <w:rFonts w:eastAsia="方正仿宋_GBK"/>
          <w:sz w:val="32"/>
        </w:rPr>
        <w:t>所属各预算单位政府采购预算总额5.2万元：政府采购货物预算5.2万元；其中一般公共预算拨款政府采购5.2万元：政府采购货物预算5.2万元。</w:t>
      </w:r>
    </w:p>
    <w:p>
      <w:pPr>
        <w:overflowPunct w:val="0"/>
        <w:spacing w:line="600" w:lineRule="atLeast"/>
        <w:ind w:firstLine="640" w:firstLineChars="200"/>
        <w:rPr>
          <w:rFonts w:eastAsia="方正仿宋_GBK"/>
          <w:color w:val="000000"/>
          <w:sz w:val="32"/>
        </w:rPr>
      </w:pPr>
      <w:r>
        <w:rPr>
          <w:rFonts w:eastAsia="方正仿宋_GBK"/>
          <w:b/>
          <w:sz w:val="32"/>
        </w:rPr>
        <w:t>3．绩效目标设置情况。</w:t>
      </w:r>
      <w:r>
        <w:rPr>
          <w:rFonts w:eastAsia="方正仿宋_GBK"/>
          <w:color w:val="000000"/>
          <w:sz w:val="32"/>
        </w:rPr>
        <w:t>2024年项目支出均实行了绩效目标管理，涉及一般公共预算当年财政拨款</w:t>
      </w:r>
      <w:r>
        <w:rPr>
          <w:rFonts w:hint="eastAsia" w:eastAsia="方正仿宋_GBK"/>
          <w:color w:val="000000"/>
          <w:sz w:val="32"/>
        </w:rPr>
        <w:t>147.68</w:t>
      </w:r>
      <w:r>
        <w:rPr>
          <w:rFonts w:eastAsia="方正仿宋_GBK"/>
          <w:color w:val="000000"/>
          <w:sz w:val="32"/>
        </w:rPr>
        <w:t>万元。</w:t>
      </w:r>
    </w:p>
    <w:p>
      <w:pPr>
        <w:overflowPunct w:val="0"/>
        <w:spacing w:line="600" w:lineRule="atLeast"/>
        <w:ind w:firstLine="640" w:firstLineChars="200"/>
        <w:rPr>
          <w:rFonts w:eastAsia="方正仿宋_GBK"/>
          <w:color w:val="000000"/>
          <w:sz w:val="32"/>
        </w:rPr>
      </w:pPr>
      <w:r>
        <w:rPr>
          <w:rFonts w:eastAsia="方正仿宋_GBK"/>
          <w:b/>
          <w:color w:val="000000"/>
          <w:sz w:val="32"/>
        </w:rPr>
        <w:t>4．国有资产占有使用情况。</w:t>
      </w:r>
      <w:r>
        <w:rPr>
          <w:rFonts w:hint="eastAsia" w:eastAsia="方正仿宋_GBK"/>
          <w:color w:val="000000"/>
          <w:sz w:val="32"/>
          <w:lang w:eastAsia="zh-CN"/>
        </w:rPr>
        <w:t>截至</w:t>
      </w:r>
      <w:r>
        <w:rPr>
          <w:rFonts w:eastAsia="方正仿宋_GBK"/>
          <w:color w:val="000000"/>
          <w:sz w:val="32"/>
        </w:rPr>
        <w:t>2023年12月，所属各预算单位共有车辆0辆，其中一般公务用车0辆、执勤执法用车0辆。2024年一般公共预算安排购置车辆0辆，其中一般公务用车0辆、执勤执法用车0辆。</w:t>
      </w:r>
    </w:p>
    <w:p>
      <w:pPr>
        <w:overflowPunct w:val="0"/>
        <w:spacing w:line="600" w:lineRule="atLeast"/>
        <w:ind w:firstLine="640" w:firstLineChars="200"/>
        <w:rPr>
          <w:rFonts w:eastAsia="方正仿宋_GBK"/>
          <w:sz w:val="32"/>
          <w:szCs w:val="32"/>
        </w:rPr>
      </w:pPr>
      <w:r>
        <w:rPr>
          <w:rFonts w:eastAsia="方正黑体_GBK"/>
          <w:sz w:val="32"/>
        </w:rPr>
        <w:t>六、专业性名词解释</w:t>
      </w:r>
    </w:p>
    <w:p>
      <w:pPr>
        <w:pStyle w:val="8"/>
        <w:tabs>
          <w:tab w:val="center" w:pos="4153"/>
          <w:tab w:val="left" w:pos="7275"/>
        </w:tabs>
        <w:overflowPunct w:val="0"/>
        <w:spacing w:line="600" w:lineRule="atLeast"/>
        <w:ind w:firstLine="640"/>
        <w:rPr>
          <w:rFonts w:ascii="Times New Roman" w:hAnsi="Times New Roman" w:eastAsia="方正仿宋_GBK"/>
          <w:sz w:val="32"/>
          <w:szCs w:val="32"/>
        </w:rPr>
      </w:pPr>
      <w:r>
        <w:rPr>
          <w:rFonts w:ascii="Times New Roman"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8"/>
        <w:tabs>
          <w:tab w:val="center" w:pos="4153"/>
          <w:tab w:val="left" w:pos="7275"/>
        </w:tabs>
        <w:overflowPunct w:val="0"/>
        <w:spacing w:line="600" w:lineRule="atLeast"/>
        <w:ind w:firstLine="640"/>
        <w:rPr>
          <w:rFonts w:ascii="Times New Roman" w:hAnsi="Times New Roman" w:eastAsia="方正仿宋_GBK"/>
          <w:sz w:val="32"/>
          <w:szCs w:val="32"/>
        </w:rPr>
      </w:pPr>
      <w:r>
        <w:rPr>
          <w:rFonts w:ascii="Times New Roman" w:hAnsi="Times New Roman" w:eastAsia="方正楷体_GBK"/>
          <w:sz w:val="32"/>
          <w:szCs w:val="32"/>
        </w:rPr>
        <w:t>（二）其他收入：</w:t>
      </w:r>
      <w:r>
        <w:rPr>
          <w:rFonts w:ascii="Times New Roman" w:hAnsi="Times New Roman" w:eastAsia="方正仿宋_GBK"/>
          <w:sz w:val="32"/>
          <w:szCs w:val="32"/>
        </w:rPr>
        <w:t>指单位取得的除“财政拨款收入”、“事业收入”、“经营收入”等以外的收入。</w:t>
      </w:r>
    </w:p>
    <w:p>
      <w:pPr>
        <w:pStyle w:val="8"/>
        <w:tabs>
          <w:tab w:val="center" w:pos="4153"/>
          <w:tab w:val="left" w:pos="7275"/>
        </w:tabs>
        <w:overflowPunct w:val="0"/>
        <w:spacing w:line="600" w:lineRule="atLeast"/>
        <w:ind w:firstLine="640"/>
        <w:rPr>
          <w:rFonts w:ascii="Times New Roman" w:hAnsi="Times New Roman" w:eastAsia="方正仿宋_GBK"/>
          <w:sz w:val="32"/>
          <w:szCs w:val="32"/>
        </w:rPr>
      </w:pPr>
      <w:r>
        <w:rPr>
          <w:rFonts w:ascii="Times New Roman"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pPr>
        <w:pStyle w:val="8"/>
        <w:tabs>
          <w:tab w:val="center" w:pos="4153"/>
          <w:tab w:val="left" w:pos="7275"/>
        </w:tabs>
        <w:overflowPunct w:val="0"/>
        <w:spacing w:line="600" w:lineRule="atLeast"/>
        <w:ind w:firstLine="640"/>
        <w:rPr>
          <w:rFonts w:ascii="Times New Roman" w:hAnsi="Times New Roman" w:eastAsia="方正仿宋_GBK"/>
          <w:sz w:val="32"/>
          <w:szCs w:val="32"/>
        </w:rPr>
      </w:pPr>
      <w:r>
        <w:rPr>
          <w:rFonts w:ascii="Times New Roman"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pPr>
        <w:overflowPunct w:val="0"/>
        <w:spacing w:line="600" w:lineRule="atLeast"/>
        <w:ind w:firstLine="640" w:firstLineChars="200"/>
        <w:rPr>
          <w:rFonts w:eastAsia="方正仿宋_GBK"/>
          <w:sz w:val="32"/>
          <w:szCs w:val="32"/>
        </w:rPr>
      </w:pPr>
      <w:r>
        <w:rPr>
          <w:rFonts w:eastAsia="方正楷体_GBK"/>
          <w:sz w:val="32"/>
          <w:szCs w:val="32"/>
        </w:rPr>
        <w:t>（五）“三公”经费：</w:t>
      </w:r>
      <w:r>
        <w:rPr>
          <w:rFonts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atLeast"/>
        <w:rPr>
          <w:rFonts w:eastAsia="方正小标宋_GBK"/>
          <w:sz w:val="44"/>
          <w:szCs w:val="44"/>
        </w:rPr>
      </w:pPr>
    </w:p>
    <w:p>
      <w:pPr>
        <w:spacing w:line="600" w:lineRule="atLeast"/>
        <w:ind w:firstLine="880" w:firstLineChars="200"/>
        <w:rPr>
          <w:rFonts w:eastAsia="方正小标宋_GBK"/>
          <w:sz w:val="44"/>
          <w:szCs w:val="44"/>
        </w:rPr>
      </w:pPr>
    </w:p>
    <w:p>
      <w:pPr>
        <w:spacing w:line="600" w:lineRule="atLeast"/>
        <w:ind w:firstLine="880" w:firstLineChars="200"/>
        <w:rPr>
          <w:rFonts w:eastAsia="方正小标宋_GBK"/>
          <w:sz w:val="44"/>
          <w:szCs w:val="44"/>
        </w:rPr>
      </w:pPr>
    </w:p>
    <w:p>
      <w:pPr>
        <w:spacing w:line="600" w:lineRule="atLeast"/>
        <w:ind w:firstLine="880" w:firstLineChars="200"/>
        <w:rPr>
          <w:rFonts w:eastAsia="方正小标宋_GBK"/>
          <w:sz w:val="44"/>
          <w:szCs w:val="44"/>
        </w:rPr>
      </w:pPr>
      <w:r>
        <w:rPr>
          <w:rFonts w:eastAsia="方正小标宋_GBK"/>
          <w:sz w:val="44"/>
          <w:szCs w:val="44"/>
        </w:rPr>
        <w:br w:type="page"/>
      </w:r>
      <w:r>
        <w:rPr>
          <w:rFonts w:eastAsia="方正小标宋_GBK"/>
          <w:sz w:val="44"/>
          <w:szCs w:val="44"/>
        </w:rPr>
        <w:t>第二部分：2024年部门预算公开报表</w:t>
      </w:r>
    </w:p>
    <w:p>
      <w:pPr>
        <w:spacing w:line="600" w:lineRule="atLeast"/>
        <w:ind w:firstLine="640" w:firstLineChars="200"/>
        <w:rPr>
          <w:rFonts w:eastAsia="方正黑体_GBK"/>
          <w:sz w:val="32"/>
        </w:rPr>
      </w:pPr>
    </w:p>
    <w:p>
      <w:pPr>
        <w:spacing w:line="600" w:lineRule="atLeast"/>
        <w:ind w:firstLine="640" w:firstLineChars="200"/>
        <w:rPr>
          <w:rFonts w:eastAsia="方正黑体_GBK"/>
          <w:sz w:val="32"/>
        </w:rPr>
      </w:pPr>
      <w:r>
        <w:rPr>
          <w:rFonts w:eastAsia="方正黑体_GBK"/>
          <w:sz w:val="32"/>
        </w:rPr>
        <w:t>2024年部门预算公开报表（详见附表2重庆市开州区九龙山镇中心小学2024年部门预算公开报表）</w:t>
      </w:r>
    </w:p>
    <w:p>
      <w:pPr>
        <w:spacing w:line="600" w:lineRule="atLeast"/>
        <w:rPr>
          <w:rFonts w:eastAsia="方正仿宋_GBK"/>
          <w:sz w:val="32"/>
          <w:szCs w:val="32"/>
        </w:rPr>
      </w:pPr>
      <w:r>
        <w:rPr>
          <w:rFonts w:eastAsia="方正仿宋_GBK"/>
          <w:b/>
          <w:sz w:val="32"/>
        </w:rPr>
        <w:t>部门预算公开联系人：唐婧贤 联系方式：023-52129131</w:t>
      </w:r>
    </w:p>
    <w:p>
      <w:pPr>
        <w:spacing w:line="600" w:lineRule="atLeast"/>
        <w:jc w:val="center"/>
        <w:rPr>
          <w:rFonts w:eastAsia="方正小标宋_GBK"/>
          <w:sz w:val="44"/>
          <w:szCs w:val="44"/>
        </w:rPr>
      </w:pPr>
    </w:p>
    <w:p>
      <w:pPr>
        <w:spacing w:line="600" w:lineRule="atLeast"/>
        <w:jc w:val="center"/>
        <w:rPr>
          <w:rFonts w:eastAsia="方正小标宋_GBK"/>
          <w:sz w:val="44"/>
          <w:szCs w:val="44"/>
        </w:rPr>
      </w:pPr>
    </w:p>
    <w:p>
      <w:pPr>
        <w:spacing w:line="600" w:lineRule="atLeast"/>
        <w:rPr>
          <w:rFonts w:eastAsia="方正小标宋_GBK"/>
          <w:sz w:val="44"/>
          <w:szCs w:val="44"/>
        </w:rPr>
      </w:pPr>
    </w:p>
    <w:p>
      <w:pPr>
        <w:spacing w:line="600" w:lineRule="atLeast"/>
        <w:jc w:val="right"/>
        <w:rPr>
          <w:rFonts w:eastAsia="方正仿宋_GBK"/>
          <w:bCs/>
          <w:sz w:val="32"/>
        </w:rPr>
      </w:pPr>
      <w:r>
        <w:rPr>
          <w:rFonts w:eastAsia="方正仿宋_GBK"/>
          <w:bCs/>
          <w:sz w:val="32"/>
        </w:rPr>
        <w:t>重庆市开州区九龙山镇中心小学</w:t>
      </w:r>
    </w:p>
    <w:p>
      <w:pPr>
        <w:spacing w:line="600" w:lineRule="atLeast"/>
        <w:jc w:val="center"/>
        <w:rPr>
          <w:rFonts w:eastAsia="方正仿宋_GBK"/>
          <w:bCs/>
          <w:sz w:val="32"/>
        </w:rPr>
      </w:pPr>
      <w:r>
        <w:rPr>
          <w:rFonts w:hint="eastAsia" w:eastAsia="方正仿宋_GBK"/>
          <w:bCs/>
          <w:sz w:val="32"/>
        </w:rPr>
        <w:t xml:space="preserve">                         </w:t>
      </w:r>
      <w:r>
        <w:rPr>
          <w:rFonts w:eastAsia="方正仿宋_GBK"/>
          <w:bCs/>
          <w:sz w:val="32"/>
        </w:rPr>
        <w:t>2024年3月</w:t>
      </w:r>
      <w:r>
        <w:rPr>
          <w:rFonts w:hint="eastAsia" w:eastAsia="方正仿宋_GBK"/>
          <w:bCs/>
          <w:sz w:val="32"/>
        </w:rPr>
        <w:t>21</w:t>
      </w:r>
      <w:r>
        <w:rPr>
          <w:rFonts w:eastAsia="方正仿宋_GBK"/>
          <w:bCs/>
          <w:sz w:val="32"/>
        </w:rPr>
        <w:t>日</w:t>
      </w:r>
    </w:p>
    <w:p>
      <w:pPr>
        <w:spacing w:line="600" w:lineRule="atLeast"/>
        <w:jc w:val="center"/>
        <w:rPr>
          <w:rFonts w:eastAsia="方正仿宋_GBK"/>
          <w:bCs/>
          <w:sz w:val="32"/>
        </w:rPr>
      </w:pPr>
    </w:p>
    <w:p>
      <w:pPr>
        <w:spacing w:line="600" w:lineRule="atLeast"/>
        <w:jc w:val="center"/>
        <w:rPr>
          <w:rFonts w:eastAsia="方正仿宋_GBK"/>
          <w:b/>
          <w:sz w:val="32"/>
        </w:rPr>
      </w:pPr>
    </w:p>
    <w:p>
      <w:pPr>
        <w:spacing w:line="600" w:lineRule="atLeast"/>
        <w:jc w:val="center"/>
        <w:rPr>
          <w:rFonts w:eastAsia="方正仿宋_GBK"/>
          <w:b/>
          <w:sz w:val="32"/>
        </w:rPr>
      </w:pPr>
    </w:p>
    <w:p>
      <w:pPr>
        <w:spacing w:line="600" w:lineRule="atLeast"/>
        <w:jc w:val="center"/>
        <w:rPr>
          <w:rFonts w:eastAsia="方正仿宋_GBK"/>
          <w:b/>
          <w:sz w:val="32"/>
        </w:rPr>
      </w:pPr>
    </w:p>
    <w:p>
      <w:pPr>
        <w:spacing w:line="600" w:lineRule="atLeast"/>
        <w:jc w:val="center"/>
        <w:rPr>
          <w:rFonts w:eastAsia="方正仿宋_GBK"/>
          <w:b/>
          <w:sz w:val="32"/>
        </w:rPr>
      </w:pPr>
    </w:p>
    <w:p>
      <w:pPr>
        <w:spacing w:line="600" w:lineRule="atLeast"/>
        <w:jc w:val="center"/>
        <w:rPr>
          <w:rFonts w:eastAsia="方正仿宋_GBK"/>
          <w:b/>
          <w:sz w:val="32"/>
        </w:rPr>
      </w:pPr>
    </w:p>
    <w:p>
      <w:pPr>
        <w:spacing w:line="600" w:lineRule="atLeast"/>
        <w:jc w:val="center"/>
        <w:rPr>
          <w:rFonts w:eastAsia="方正仿宋_GBK"/>
          <w:b/>
          <w:sz w:val="32"/>
        </w:rPr>
      </w:pPr>
    </w:p>
    <w:p>
      <w:pPr>
        <w:spacing w:line="600" w:lineRule="atLeast"/>
        <w:jc w:val="center"/>
        <w:rPr>
          <w:rFonts w:eastAsia="方正仿宋_GBK"/>
          <w:b/>
          <w:sz w:val="32"/>
        </w:rPr>
      </w:pPr>
    </w:p>
    <w:p>
      <w:pPr>
        <w:spacing w:line="600" w:lineRule="atLeast"/>
        <w:jc w:val="center"/>
        <w:rPr>
          <w:rFonts w:eastAsia="方正仿宋_GBK"/>
          <w:b/>
          <w:sz w:val="32"/>
        </w:rPr>
      </w:pPr>
    </w:p>
    <w:p>
      <w:pPr>
        <w:overflowPunct w:val="0"/>
        <w:spacing w:line="480" w:lineRule="exact"/>
        <w:jc w:val="left"/>
        <w:rPr>
          <w:rFonts w:eastAsia="方正仿宋_GBK"/>
          <w:sz w:val="32"/>
          <w:szCs w:val="32"/>
        </w:rPr>
      </w:pPr>
      <w:r>
        <mc:AlternateContent>
          <mc:Choice Requires="wps">
            <w:drawing>
              <wp:anchor distT="0" distB="0" distL="114300" distR="114300" simplePos="0" relativeHeight="251659264" behindDoc="0" locked="0" layoutInCell="1" allowOverlap="1">
                <wp:simplePos x="0" y="0"/>
                <wp:positionH relativeFrom="margin">
                  <wp:posOffset>52070</wp:posOffset>
                </wp:positionH>
                <wp:positionV relativeFrom="paragraph">
                  <wp:posOffset>342265</wp:posOffset>
                </wp:positionV>
                <wp:extent cx="5615940"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1pt;margin-top:26.95pt;height:0pt;width:442.2pt;mso-position-horizontal-relative:margin;z-index:251659264;mso-width-relative:page;mso-height-relative:page;" filled="f" stroked="t" coordsize="21600,21600" o:gfxdata="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PE41AAA&#10;AAcBAAAPAAAAAAAAAAEAIAAAACIAAABkcnMvZG93bnJldi54bWxQSwECFAAUAAAACACHTuJAvmuO&#10;EOkBAAC4AwAADgAAAAAAAAABACAAAAAjAQAAZHJzL2Uyb0RvYy54bWxQSwUGAAAAAAYABgBZAQAA&#10;f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52070</wp:posOffset>
                </wp:positionH>
                <wp:positionV relativeFrom="paragraph">
                  <wp:posOffset>13335</wp:posOffset>
                </wp:positionV>
                <wp:extent cx="5615940"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1pt;margin-top:1.05pt;height:0pt;width:442.2pt;mso-position-horizontal-relative:margin;z-index:251660288;mso-width-relative:page;mso-height-relative:page;" filled="f" stroked="t" coordsize="21600,21600" o:gfxdata="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7wG4l0gAAAAUB&#10;AAAPAAAAAAAAAAEAIAAAACIAAABkcnMvZG93bnJldi54bWxQSwECFAAUAAAACACHTuJAVEHD3OgB&#10;AAC4AwAADgAAAAAAAAABACAAAAAhAQAAZHJzL2Uyb0RvYy54bWxQSwUGAAAAAAYABgBZAQAAewUA&#10;AAAA&#10;">
                <v:fill on="f" focussize="0,0"/>
                <v:stroke color="#000000" joinstyle="round"/>
                <v:imagedata o:title=""/>
                <o:lock v:ext="edit" aspectratio="f"/>
              </v:line>
            </w:pict>
          </mc:Fallback>
        </mc:AlternateContent>
      </w:r>
      <w:r>
        <w:rPr>
          <w:rFonts w:eastAsia="方正仿宋_GBK"/>
          <w:kern w:val="0"/>
          <w:sz w:val="28"/>
          <w:szCs w:val="28"/>
        </w:rPr>
        <w:t xml:space="preserve">重庆市开州区九龙山镇中心小学       </w:t>
      </w:r>
      <w:r>
        <w:rPr>
          <w:rFonts w:hint="eastAsia" w:eastAsia="方正仿宋_GBK"/>
          <w:kern w:val="0"/>
          <w:sz w:val="28"/>
          <w:szCs w:val="28"/>
        </w:rPr>
        <w:t xml:space="preserve">       </w:t>
      </w:r>
      <w:r>
        <w:rPr>
          <w:rFonts w:eastAsia="方正仿宋_GBK"/>
          <w:kern w:val="0"/>
          <w:sz w:val="28"/>
          <w:szCs w:val="28"/>
        </w:rPr>
        <w:t xml:space="preserve"> 2024年3月</w:t>
      </w:r>
      <w:r>
        <w:rPr>
          <w:rFonts w:hint="eastAsia" w:eastAsia="方正仿宋_GBK"/>
          <w:kern w:val="0"/>
          <w:sz w:val="28"/>
          <w:szCs w:val="28"/>
        </w:rPr>
        <w:t>21</w:t>
      </w:r>
      <w:r>
        <w:rPr>
          <w:rFonts w:eastAsia="方正仿宋_GBK"/>
          <w:kern w:val="0"/>
          <w:sz w:val="28"/>
          <w:szCs w:val="28"/>
        </w:rPr>
        <w:t>日印发</w:t>
      </w:r>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zYzYzdhNWM2ZDU3ZDgxYWY4YzdlZjliZTcyYWEifQ=="/>
  </w:docVars>
  <w:rsids>
    <w:rsidRoot w:val="00A85C72"/>
    <w:rsid w:val="00093886"/>
    <w:rsid w:val="00131176"/>
    <w:rsid w:val="001506E3"/>
    <w:rsid w:val="001E2E45"/>
    <w:rsid w:val="00206FA4"/>
    <w:rsid w:val="00622E7E"/>
    <w:rsid w:val="00641082"/>
    <w:rsid w:val="0069098A"/>
    <w:rsid w:val="00876521"/>
    <w:rsid w:val="00886B76"/>
    <w:rsid w:val="00A85C72"/>
    <w:rsid w:val="00B30C83"/>
    <w:rsid w:val="00D43BED"/>
    <w:rsid w:val="00D56625"/>
    <w:rsid w:val="00E425F9"/>
    <w:rsid w:val="00E426AD"/>
    <w:rsid w:val="00E76E9F"/>
    <w:rsid w:val="00EF1E57"/>
    <w:rsid w:val="053E4A03"/>
    <w:rsid w:val="06581AF4"/>
    <w:rsid w:val="08FC70AE"/>
    <w:rsid w:val="103408FF"/>
    <w:rsid w:val="1C094E1B"/>
    <w:rsid w:val="1DA33B45"/>
    <w:rsid w:val="1DDC2BB3"/>
    <w:rsid w:val="2E3F6F72"/>
    <w:rsid w:val="30087837"/>
    <w:rsid w:val="30646B62"/>
    <w:rsid w:val="32EA6315"/>
    <w:rsid w:val="34847DD4"/>
    <w:rsid w:val="36FF3742"/>
    <w:rsid w:val="39AB2DA0"/>
    <w:rsid w:val="3C1063F2"/>
    <w:rsid w:val="40147755"/>
    <w:rsid w:val="404E1296"/>
    <w:rsid w:val="448F463E"/>
    <w:rsid w:val="4A636206"/>
    <w:rsid w:val="502D711A"/>
    <w:rsid w:val="536E53F0"/>
    <w:rsid w:val="56242D6E"/>
    <w:rsid w:val="56CB4F97"/>
    <w:rsid w:val="5C915A12"/>
    <w:rsid w:val="5D6E48CE"/>
    <w:rsid w:val="5E890B38"/>
    <w:rsid w:val="5F9A7FAB"/>
    <w:rsid w:val="6392701F"/>
    <w:rsid w:val="65640A91"/>
    <w:rsid w:val="6692162D"/>
    <w:rsid w:val="6D0509B6"/>
    <w:rsid w:val="76634D94"/>
    <w:rsid w:val="77B125D0"/>
    <w:rsid w:val="7B4B2B46"/>
    <w:rsid w:val="7EC00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uiPriority w:val="0"/>
    <w:pPr>
      <w:ind w:firstLine="640" w:firstLineChars="200"/>
    </w:pPr>
    <w:rPr>
      <w:rFonts w:ascii="仿宋_GB2312" w:eastAsia="仿宋_GB2312"/>
      <w:sz w:val="3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10"/>
    <w:uiPriority w:val="0"/>
    <w:pPr>
      <w:tabs>
        <w:tab w:val="center" w:pos="4153"/>
        <w:tab w:val="right" w:pos="8306"/>
      </w:tabs>
      <w:snapToGrid w:val="0"/>
      <w:jc w:val="center"/>
    </w:pPr>
    <w:rPr>
      <w:sz w:val="18"/>
      <w:szCs w:val="18"/>
    </w:rPr>
  </w:style>
  <w:style w:type="character" w:styleId="7">
    <w:name w:val="page number"/>
    <w:qFormat/>
    <w:uiPriority w:val="0"/>
  </w:style>
  <w:style w:type="paragraph" w:styleId="8">
    <w:name w:val="List Paragraph"/>
    <w:basedOn w:val="1"/>
    <w:qFormat/>
    <w:uiPriority w:val="34"/>
    <w:pPr>
      <w:ind w:firstLine="420" w:firstLineChars="200"/>
    </w:pPr>
    <w:rPr>
      <w:rFonts w:ascii="Calibri" w:hAnsi="Calibri"/>
      <w:szCs w:val="22"/>
    </w:rPr>
  </w:style>
  <w:style w:type="paragraph" w:customStyle="1" w:styleId="9">
    <w:name w:val="_Style 11"/>
    <w:basedOn w:val="1"/>
    <w:next w:val="8"/>
    <w:qFormat/>
    <w:uiPriority w:val="34"/>
    <w:pPr>
      <w:ind w:firstLine="420" w:firstLineChars="200"/>
    </w:pPr>
    <w:rPr>
      <w:rFonts w:ascii="Calibri" w:hAnsi="Calibri"/>
      <w:szCs w:val="22"/>
    </w:rPr>
  </w:style>
  <w:style w:type="character" w:customStyle="1" w:styleId="10">
    <w:name w:val="页眉 Char"/>
    <w:basedOn w:val="6"/>
    <w:link w:val="4"/>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392</Words>
  <Characters>2235</Characters>
  <Lines>18</Lines>
  <Paragraphs>5</Paragraphs>
  <TotalTime>21</TotalTime>
  <ScaleCrop>false</ScaleCrop>
  <LinksUpToDate>false</LinksUpToDate>
  <CharactersWithSpaces>2622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2024-03-11T07:18:00Z</dcterms:created>
  <dc:creator>Administrator</dc:creator>
  <cp:lastModifiedBy>Administrator</cp:lastModifiedBy>
  <dcterms:modified xsi:type="dcterms:W3CDTF">2024-03-29T06:51:22Z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0F21F0321F0F4418A771050318245ABB_12</vt:lpwstr>
  </property>
</Properties>
</file>