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640"/>
      </w:pPr>
      <w:bookmarkStart w:id="0" w:name="_GoBack"/>
      <w:bookmarkEnd w:id="0"/>
    </w:p>
    <w:p>
      <w:pPr>
        <w:overflowPunct w:val="0"/>
        <w:spacing w:line="600" w:lineRule="exact"/>
        <w:ind w:firstLine="640"/>
      </w:pPr>
    </w:p>
    <w:p>
      <w:pPr>
        <w:overflowPunct w:val="0"/>
        <w:spacing w:line="600" w:lineRule="exact"/>
        <w:ind w:firstLine="640"/>
      </w:pPr>
    </w:p>
    <w:p>
      <w:pPr>
        <w:overflowPunct w:val="0"/>
        <w:spacing w:line="600" w:lineRule="exact"/>
        <w:ind w:firstLine="640"/>
      </w:pPr>
    </w:p>
    <w:p>
      <w:pPr>
        <w:jc w:val="center"/>
        <w:rPr>
          <w:rFonts w:eastAsia="方正小标宋简体"/>
          <w:b/>
          <w:bCs/>
          <w:spacing w:val="-17"/>
          <w:w w:val="60"/>
          <w:sz w:val="120"/>
          <w:szCs w:val="120"/>
        </w:rPr>
      </w:pPr>
      <w:r>
        <w:rPr>
          <w:rFonts w:hint="eastAsia" w:ascii="方正小标宋_GBK" w:hAnsi="方正小标宋_GBK" w:eastAsia="方正小标宋_GBK" w:cs="方正小标宋_GBK"/>
          <w:b/>
          <w:bCs/>
          <w:color w:val="FF0000"/>
          <w:spacing w:val="1"/>
          <w:w w:val="51"/>
          <w:kern w:val="0"/>
          <w:sz w:val="120"/>
          <w:szCs w:val="120"/>
          <w:fitText w:val="9209" w:id="-1015876096"/>
        </w:rPr>
        <w:t>重庆市开州区郭家镇津关中心小</w:t>
      </w:r>
      <w:r>
        <w:rPr>
          <w:rFonts w:hint="eastAsia" w:ascii="方正小标宋_GBK" w:hAnsi="方正小标宋_GBK" w:eastAsia="方正小标宋_GBK" w:cs="方正小标宋_GBK"/>
          <w:b/>
          <w:bCs/>
          <w:color w:val="FF0000"/>
          <w:spacing w:val="3"/>
          <w:w w:val="51"/>
          <w:kern w:val="0"/>
          <w:sz w:val="120"/>
          <w:szCs w:val="120"/>
          <w:fitText w:val="9209" w:id="-1015876096"/>
        </w:rPr>
        <w:t>学</w:t>
      </w:r>
    </w:p>
    <w:p>
      <w:pPr>
        <w:overflowPunct w:val="0"/>
        <w:spacing w:line="620" w:lineRule="exact"/>
        <w:ind w:firstLine="575"/>
        <w:rPr>
          <w:w w:val="90"/>
          <w:sz w:val="32"/>
          <w:szCs w:val="32"/>
        </w:rPr>
      </w:pPr>
    </w:p>
    <w:p>
      <w:pPr>
        <w:spacing w:line="600" w:lineRule="exact"/>
        <w:jc w:val="center"/>
        <w:rPr>
          <w:rFonts w:eastAsia="方正仿宋_GBK"/>
          <w:sz w:val="32"/>
          <w:szCs w:val="32"/>
        </w:rPr>
      </w:pPr>
      <w:r>
        <w:rPr>
          <w:rFonts w:eastAsia="方正仿宋_GBK"/>
          <w:sz w:val="32"/>
        </w:rPr>
        <w:t>开州</w:t>
      </w:r>
      <w:r>
        <w:rPr>
          <w:rFonts w:hint="eastAsia" w:eastAsia="方正仿宋_GBK"/>
          <w:sz w:val="32"/>
        </w:rPr>
        <w:t>津小学</w:t>
      </w:r>
      <w:r>
        <w:rPr>
          <w:rFonts w:eastAsia="方正仿宋_GBK"/>
          <w:color w:val="000000"/>
          <w:sz w:val="32"/>
          <w:szCs w:val="32"/>
        </w:rPr>
        <w:t>〔2024〕</w:t>
      </w:r>
      <w:r>
        <w:rPr>
          <w:rFonts w:hint="eastAsia" w:eastAsia="方正仿宋_GBK"/>
          <w:sz w:val="32"/>
          <w:szCs w:val="32"/>
        </w:rPr>
        <w:t>1</w:t>
      </w:r>
      <w:r>
        <w:rPr>
          <w:rFonts w:eastAsia="方正仿宋_GBK"/>
          <w:sz w:val="32"/>
        </w:rPr>
        <w:t>号</w:t>
      </w:r>
      <w:r>
        <w:rPr>
          <w:rFonts w:hint="eastAsia" w:eastAsia="方正仿宋_GBK"/>
          <w:sz w:val="32"/>
        </w:rPr>
        <w:t xml:space="preserve">                </w:t>
      </w:r>
      <w:r>
        <w:rPr>
          <w:rFonts w:eastAsia="方正仿宋_GBK"/>
          <w:sz w:val="32"/>
        </w:rPr>
        <w:t>签发人：</w:t>
      </w:r>
      <w:r>
        <w:rPr>
          <w:rFonts w:hint="eastAsia" w:eastAsia="方正楷体_GBK"/>
          <w:sz w:val="32"/>
        </w:rPr>
        <w:t>易红兵</w:t>
      </w:r>
    </w:p>
    <w:p>
      <w:pPr>
        <w:spacing w:line="300" w:lineRule="exact"/>
        <w:ind w:firstLine="840"/>
        <w:rPr>
          <w:rFonts w:eastAsia="方正小标宋简体"/>
          <w:sz w:val="42"/>
          <w:szCs w:val="44"/>
          <w:u w:val="thick" w:color="FF0000"/>
        </w:rPr>
      </w:pPr>
      <w:r>
        <w:rPr>
          <w:rFonts w:eastAsia="方正小标宋简体"/>
          <w:sz w:val="42"/>
          <w:szCs w:val="44"/>
          <w:u w:val="thick" w:color="FF0000"/>
        </w:rPr>
        <mc:AlternateContent>
          <mc:Choice Requires="wps">
            <w:drawing>
              <wp:anchor distT="0" distB="0" distL="114300" distR="114300" simplePos="0" relativeHeight="251659264" behindDoc="0" locked="0" layoutInCell="1" allowOverlap="1">
                <wp:simplePos x="0" y="0"/>
                <wp:positionH relativeFrom="margin">
                  <wp:posOffset>26670</wp:posOffset>
                </wp:positionH>
                <wp:positionV relativeFrom="paragraph">
                  <wp:posOffset>175260</wp:posOffset>
                </wp:positionV>
                <wp:extent cx="5760085" cy="0"/>
                <wp:effectExtent l="0" t="0" r="1206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2.1pt;margin-top:13.8pt;height:0pt;width:453.55pt;mso-position-horizontal-relative:margin;z-index:251659264;mso-width-relative:page;mso-height-relative:page;" filled="f" stroked="t" coordsize="21600,21600" o:gfxdata="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SvMktUAAAAH&#10;AQAADwAAAAAAAAABACAAAAAiAAAAZHJzL2Rvd25yZXYueG1sUEsBAhQAFAAAAAgAh07iQMJny+Dm&#10;AQAAqwMAAA4AAAAAAAAAAQAgAAAAJAEAAGRycy9lMm9Eb2MueG1sUEsFBgAAAAAGAAYAWQEAAHwF&#10;AAAAAA==&#10;">
                <v:fill on="f" focussize="0,0"/>
                <v:stroke weight="1.75pt" color="#FF0000" joinstyle="round"/>
                <v:imagedata o:title=""/>
                <o:lock v:ext="edit" aspectratio="f"/>
              </v:line>
            </w:pict>
          </mc:Fallback>
        </mc:AlternateContent>
      </w:r>
    </w:p>
    <w:p>
      <w:pPr>
        <w:spacing w:line="600" w:lineRule="exact"/>
        <w:ind w:firstLine="880"/>
        <w:jc w:val="center"/>
        <w:rPr>
          <w:rFonts w:eastAsia="方正小标宋简体"/>
          <w:sz w:val="44"/>
          <w:szCs w:val="44"/>
        </w:rPr>
      </w:pPr>
    </w:p>
    <w:p>
      <w:pPr>
        <w:spacing w:line="600" w:lineRule="exact"/>
        <w:ind w:firstLine="880"/>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郭家镇津关中心小学</w:t>
      </w:r>
    </w:p>
    <w:p>
      <w:pPr>
        <w:spacing w:line="600" w:lineRule="exact"/>
        <w:ind w:firstLine="880"/>
        <w:jc w:val="center"/>
        <w:rPr>
          <w:rFonts w:eastAsia="方正小标宋_GBK"/>
          <w:sz w:val="44"/>
          <w:szCs w:val="44"/>
        </w:rPr>
      </w:pPr>
      <w:r>
        <w:rPr>
          <w:rFonts w:eastAsia="方正小标宋_GBK"/>
          <w:sz w:val="44"/>
          <w:szCs w:val="44"/>
        </w:rPr>
        <w:t>关于2024年部门预算情况公开的公告</w:t>
      </w:r>
    </w:p>
    <w:p>
      <w:pPr>
        <w:spacing w:line="600" w:lineRule="exact"/>
        <w:ind w:firstLine="880"/>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重庆市开州区郭家镇津关中心小学</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Pr>
        <w:spacing w:line="600" w:lineRule="exact"/>
      </w:pPr>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重庆市开州区郭家镇津关中心小学收支预算总表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重庆市开州区郭家镇津关中心小学</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重庆市开州区郭家镇津关中心小学本年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重庆市开州区郭家镇津关中心小学</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w:t>
      </w:r>
      <w:r>
        <w:rPr>
          <w:rFonts w:hint="eastAsia" w:eastAsia="方正仿宋_GBK"/>
          <w:sz w:val="32"/>
          <w:szCs w:val="32"/>
        </w:rPr>
        <w:t>重庆市开州区郭家镇津关中心小学本年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w:t>
      </w:r>
      <w:r>
        <w:rPr>
          <w:rFonts w:hint="eastAsia" w:eastAsia="方正仿宋_GBK"/>
          <w:sz w:val="32"/>
          <w:szCs w:val="32"/>
        </w:rPr>
        <w:t>重庆市开州区郭家镇津关中心小学</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表7、</w:t>
      </w:r>
      <w:r>
        <w:rPr>
          <w:rFonts w:hint="eastAsia" w:eastAsia="方正仿宋_GBK"/>
          <w:sz w:val="32"/>
          <w:szCs w:val="32"/>
        </w:rPr>
        <w:t>重庆市开州区郭家镇津关中心小学</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重庆市开州区郭家镇津关中心小学</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w:t>
      </w:r>
      <w:r>
        <w:rPr>
          <w:rFonts w:hint="eastAsia" w:eastAsia="方正仿宋_GBK"/>
          <w:sz w:val="32"/>
          <w:szCs w:val="32"/>
        </w:rPr>
        <w:t>重庆市开州区郭家镇津关中心小学</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重庆市开州区郭家镇津关中心小学</w:t>
      </w:r>
      <w:r>
        <w:rPr>
          <w:rFonts w:eastAsia="方正仿宋_GBK"/>
          <w:sz w:val="32"/>
          <w:szCs w:val="32"/>
        </w:rPr>
        <w:t>项目支出表</w:t>
      </w:r>
    </w:p>
    <w:p>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pPr>
        <w:overflowPunct w:val="0"/>
        <w:spacing w:line="600" w:lineRule="exact"/>
        <w:ind w:firstLine="640" w:firstLineChars="200"/>
        <w:rPr>
          <w:rFonts w:eastAsia="方正仿宋_GBK"/>
          <w:sz w:val="32"/>
        </w:rPr>
      </w:pPr>
      <w:r>
        <w:rPr>
          <w:rFonts w:hint="eastAsia" w:eastAsia="方正仿宋_GBK"/>
          <w:sz w:val="32"/>
        </w:rPr>
        <w:t>1.组织实施教育教学活动，维护学校的教学秩序。</w:t>
      </w:r>
    </w:p>
    <w:p>
      <w:pPr>
        <w:overflowPunct w:val="0"/>
        <w:spacing w:line="600" w:lineRule="exact"/>
        <w:ind w:firstLine="640" w:firstLineChars="200"/>
        <w:rPr>
          <w:rFonts w:eastAsia="方正仿宋_GBK"/>
          <w:sz w:val="32"/>
        </w:rPr>
      </w:pPr>
      <w:r>
        <w:rPr>
          <w:rFonts w:hint="eastAsia" w:eastAsia="方正仿宋_GBK"/>
          <w:sz w:val="32"/>
        </w:rPr>
        <w:t>2.对受教育者进行学籍管理，实施奖励或者处分，颁发相应的学业证书。</w:t>
      </w:r>
    </w:p>
    <w:p>
      <w:pPr>
        <w:overflowPunct w:val="0"/>
        <w:spacing w:line="600" w:lineRule="exact"/>
        <w:ind w:firstLine="640" w:firstLineChars="200"/>
        <w:rPr>
          <w:rFonts w:eastAsia="方正仿宋_GBK"/>
          <w:sz w:val="32"/>
        </w:rPr>
      </w:pPr>
      <w:r>
        <w:rPr>
          <w:rFonts w:hint="eastAsia" w:eastAsia="方正仿宋_GBK"/>
          <w:sz w:val="32"/>
        </w:rPr>
        <w:t>3.聘任教职工，实施奖励或者处分。</w:t>
      </w:r>
    </w:p>
    <w:p>
      <w:pPr>
        <w:overflowPunct w:val="0"/>
        <w:spacing w:line="600" w:lineRule="exact"/>
        <w:ind w:firstLine="640" w:firstLineChars="200"/>
        <w:rPr>
          <w:rFonts w:eastAsia="方正仿宋_GBK"/>
          <w:sz w:val="32"/>
        </w:rPr>
      </w:pPr>
      <w:r>
        <w:rPr>
          <w:rFonts w:hint="eastAsia" w:eastAsia="方正仿宋_GBK"/>
          <w:sz w:val="32"/>
        </w:rPr>
        <w:t>4.维护受教育者、教师及其他职工的合法权益。</w:t>
      </w:r>
    </w:p>
    <w:p>
      <w:pPr>
        <w:overflowPunct w:val="0"/>
        <w:spacing w:line="600" w:lineRule="exact"/>
        <w:ind w:firstLine="640" w:firstLineChars="200"/>
        <w:rPr>
          <w:rFonts w:eastAsia="方正仿宋_GBK"/>
          <w:sz w:val="32"/>
        </w:rPr>
      </w:pPr>
      <w:r>
        <w:rPr>
          <w:rFonts w:hint="eastAsia" w:eastAsia="方正仿宋_GBK"/>
          <w:sz w:val="32"/>
        </w:rPr>
        <w:t>5.根据学校规模，设置学校管理机构，建立健全各项规章制度和岗位责任制；</w:t>
      </w:r>
    </w:p>
    <w:p>
      <w:pPr>
        <w:overflowPunct w:val="0"/>
        <w:spacing w:line="600" w:lineRule="exact"/>
        <w:ind w:firstLine="640" w:firstLineChars="200"/>
        <w:rPr>
          <w:rFonts w:eastAsia="方正仿宋_GBK"/>
          <w:sz w:val="32"/>
        </w:rPr>
      </w:pPr>
      <w:r>
        <w:rPr>
          <w:rFonts w:hint="eastAsia" w:eastAsia="方正仿宋_GBK"/>
          <w:sz w:val="32"/>
        </w:rPr>
        <w:t>6.做好学校安全稳定工作和后勤保障服务工作。</w:t>
      </w:r>
    </w:p>
    <w:p>
      <w:pPr>
        <w:pStyle w:val="7"/>
        <w:tabs>
          <w:tab w:val="center" w:pos="4153"/>
          <w:tab w:val="left" w:pos="7275"/>
        </w:tabs>
        <w:overflowPunct w:val="0"/>
        <w:spacing w:line="600" w:lineRule="exact"/>
        <w:ind w:left="640" w:firstLine="0" w:firstLineChars="0"/>
        <w:rPr>
          <w:rFonts w:ascii="方正楷体_GBK" w:hAnsi="Times New Roman" w:eastAsia="方正楷体_GBK"/>
          <w:sz w:val="32"/>
        </w:rPr>
      </w:pPr>
      <w:r>
        <w:rPr>
          <w:rFonts w:hint="eastAsia" w:ascii="方正楷体_GBK" w:hAnsi="Times New Roman" w:eastAsia="方正楷体_GBK"/>
          <w:sz w:val="32"/>
        </w:rPr>
        <w:t>（二）单位构成</w:t>
      </w:r>
    </w:p>
    <w:p>
      <w:pPr>
        <w:overflowPunct w:val="0"/>
        <w:spacing w:line="600" w:lineRule="exact"/>
        <w:ind w:firstLine="640" w:firstLineChars="200"/>
        <w:rPr>
          <w:rFonts w:eastAsia="方正仿宋_GBK"/>
          <w:sz w:val="32"/>
        </w:rPr>
      </w:pPr>
      <w:r>
        <w:rPr>
          <w:rFonts w:hint="eastAsia" w:eastAsia="方正仿宋_GBK"/>
          <w:sz w:val="32"/>
        </w:rPr>
        <w:t>本单位内设3个机构处室，分别是教导处、德育处、总务处</w:t>
      </w:r>
      <w:r>
        <w:rPr>
          <w:rFonts w:eastAsia="方正仿宋_GBK"/>
          <w:sz w:val="32"/>
        </w:rPr>
        <w:t>。</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hint="eastAsia" w:ascii="方正楷体_GBK" w:eastAsia="方正楷体_GBK"/>
          <w:sz w:val="32"/>
        </w:rPr>
        <w:t>（一）收入预算：</w:t>
      </w:r>
      <w:r>
        <w:rPr>
          <w:rFonts w:eastAsia="方正仿宋_GBK"/>
          <w:sz w:val="32"/>
        </w:rPr>
        <w:t>2024年年初预算数</w:t>
      </w:r>
      <w:r>
        <w:rPr>
          <w:rFonts w:hint="eastAsia" w:eastAsia="方正仿宋_GBK"/>
          <w:sz w:val="32"/>
        </w:rPr>
        <w:t>717.33</w:t>
      </w:r>
      <w:r>
        <w:rPr>
          <w:rFonts w:eastAsia="方正仿宋_GBK"/>
          <w:sz w:val="32"/>
        </w:rPr>
        <w:t>万元（含上年结转</w:t>
      </w:r>
      <w:r>
        <w:rPr>
          <w:rFonts w:hint="eastAsia" w:eastAsia="方正仿宋_GBK"/>
          <w:sz w:val="32"/>
        </w:rPr>
        <w:t>14.3</w:t>
      </w:r>
      <w:r>
        <w:rPr>
          <w:rFonts w:eastAsia="方正仿宋_GBK"/>
          <w:sz w:val="32"/>
        </w:rPr>
        <w:t>万元），其中：一般公共预算拨款</w:t>
      </w:r>
      <w:r>
        <w:rPr>
          <w:rFonts w:hint="eastAsia" w:eastAsia="方正仿宋_GBK"/>
          <w:sz w:val="32"/>
        </w:rPr>
        <w:t>717.33</w:t>
      </w:r>
      <w:r>
        <w:rPr>
          <w:rFonts w:eastAsia="方正仿宋_GBK"/>
          <w:sz w:val="32"/>
        </w:rPr>
        <w:t>万元（含上年结转</w:t>
      </w:r>
      <w:r>
        <w:rPr>
          <w:rFonts w:hint="eastAsia" w:eastAsia="方正仿宋_GBK"/>
          <w:sz w:val="32"/>
        </w:rPr>
        <w:t>14.3</w:t>
      </w:r>
      <w:r>
        <w:rPr>
          <w:rFonts w:eastAsia="方正仿宋_GBK"/>
          <w:sz w:val="32"/>
        </w:rPr>
        <w:t>万元）。</w:t>
      </w:r>
      <w:r>
        <w:rPr>
          <w:rFonts w:hint="eastAsia" w:eastAsia="方正仿宋_GBK"/>
          <w:sz w:val="32"/>
        </w:rPr>
        <w:t>政府性基金预算拨款0万元，国有资本经营预算收入0万元，事业收入0万元，事业单位经营收入0万元，其他收入0万元。</w:t>
      </w:r>
      <w:r>
        <w:rPr>
          <w:rFonts w:eastAsia="方正仿宋_GBK"/>
          <w:sz w:val="32"/>
        </w:rPr>
        <w:t>收入较2023年</w:t>
      </w:r>
      <w:r>
        <w:rPr>
          <w:rFonts w:hint="eastAsia" w:eastAsia="方正仿宋_GBK"/>
          <w:sz w:val="32"/>
        </w:rPr>
        <w:t>减少45.36</w:t>
      </w:r>
      <w:r>
        <w:rPr>
          <w:rFonts w:eastAsia="方正仿宋_GBK"/>
          <w:sz w:val="32"/>
        </w:rPr>
        <w:t>万元，主要是一般公共预算拨款减少</w:t>
      </w:r>
      <w:r>
        <w:rPr>
          <w:rFonts w:hint="eastAsia" w:eastAsia="方正仿宋_GBK"/>
          <w:sz w:val="32"/>
        </w:rPr>
        <w:t>45.36</w:t>
      </w:r>
      <w:r>
        <w:rPr>
          <w:rFonts w:eastAsia="方正仿宋_GBK"/>
          <w:sz w:val="32"/>
        </w:rPr>
        <w:t>万元。</w:t>
      </w:r>
    </w:p>
    <w:p>
      <w:pPr>
        <w:overflowPunct w:val="0"/>
        <w:spacing w:line="600" w:lineRule="exact"/>
        <w:ind w:firstLine="640" w:firstLineChars="200"/>
        <w:rPr>
          <w:rFonts w:eastAsia="方正仿宋_GBK"/>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rPr>
        <w:t>717.33</w:t>
      </w:r>
      <w:r>
        <w:rPr>
          <w:rFonts w:eastAsia="方正仿宋_GBK"/>
          <w:sz w:val="32"/>
        </w:rPr>
        <w:t>万元，其中：教育支出预算</w:t>
      </w:r>
      <w:r>
        <w:rPr>
          <w:rFonts w:hint="eastAsia" w:eastAsia="方正仿宋_GBK"/>
          <w:sz w:val="32"/>
        </w:rPr>
        <w:t>476.27</w:t>
      </w:r>
      <w:r>
        <w:rPr>
          <w:rFonts w:eastAsia="方正仿宋_GBK"/>
          <w:sz w:val="32"/>
        </w:rPr>
        <w:t>万元，社会保障和就业支出预算</w:t>
      </w:r>
      <w:r>
        <w:rPr>
          <w:rFonts w:hint="eastAsia" w:eastAsia="方正仿宋_GBK"/>
          <w:sz w:val="32"/>
        </w:rPr>
        <w:t>173.34</w:t>
      </w:r>
      <w:r>
        <w:rPr>
          <w:rFonts w:eastAsia="方正仿宋_GBK"/>
          <w:sz w:val="32"/>
        </w:rPr>
        <w:t>万元，卫生健康支出预算</w:t>
      </w:r>
      <w:r>
        <w:rPr>
          <w:rFonts w:hint="eastAsia" w:eastAsia="方正仿宋_GBK"/>
          <w:sz w:val="32"/>
        </w:rPr>
        <w:t>37.98</w:t>
      </w:r>
      <w:r>
        <w:rPr>
          <w:rFonts w:eastAsia="方正仿宋_GBK"/>
          <w:sz w:val="32"/>
        </w:rPr>
        <w:t>万元，住房保障支出预算</w:t>
      </w:r>
      <w:r>
        <w:rPr>
          <w:rFonts w:hint="eastAsia" w:eastAsia="方正仿宋_GBK"/>
          <w:sz w:val="32"/>
        </w:rPr>
        <w:t>29.73</w:t>
      </w:r>
      <w:r>
        <w:rPr>
          <w:rFonts w:eastAsia="方正仿宋_GBK"/>
          <w:sz w:val="32"/>
        </w:rPr>
        <w:t>万元。支出预算较</w:t>
      </w:r>
      <w:r>
        <w:rPr>
          <w:rFonts w:hint="eastAsia" w:eastAsia="方正仿宋_GBK"/>
          <w:sz w:val="32"/>
        </w:rPr>
        <w:t>202</w:t>
      </w:r>
      <w:r>
        <w:rPr>
          <w:rFonts w:eastAsia="方正仿宋_GBK"/>
          <w:sz w:val="32"/>
        </w:rPr>
        <w:t>3年</w:t>
      </w:r>
      <w:r>
        <w:rPr>
          <w:rFonts w:hint="eastAsia" w:eastAsia="方正仿宋_GBK"/>
          <w:sz w:val="32"/>
        </w:rPr>
        <w:t>减少45.36</w:t>
      </w:r>
      <w:r>
        <w:rPr>
          <w:rFonts w:eastAsia="方正仿宋_GBK"/>
          <w:sz w:val="32"/>
        </w:rPr>
        <w:t>万元，主要是基本支出预算</w:t>
      </w:r>
      <w:r>
        <w:rPr>
          <w:rFonts w:hint="eastAsia" w:eastAsia="方正仿宋_GBK"/>
          <w:sz w:val="32"/>
        </w:rPr>
        <w:t>减少32.4</w:t>
      </w:r>
      <w:r>
        <w:rPr>
          <w:rFonts w:eastAsia="方正仿宋_GBK"/>
          <w:sz w:val="32"/>
        </w:rPr>
        <w:t>万元，项目支出预算</w:t>
      </w:r>
      <w:r>
        <w:rPr>
          <w:rFonts w:hint="eastAsia" w:eastAsia="方正仿宋_GBK"/>
          <w:sz w:val="32"/>
        </w:rPr>
        <w:t>减少12.96</w:t>
      </w:r>
      <w:r>
        <w:rPr>
          <w:rFonts w:eastAsia="方正仿宋_GBK"/>
          <w:sz w:val="32"/>
        </w:rPr>
        <w:t>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w:t>
      </w:r>
      <w:r>
        <w:rPr>
          <w:rFonts w:hint="eastAsia" w:eastAsia="方正仿宋_GBK"/>
          <w:sz w:val="32"/>
        </w:rPr>
        <w:t>717.33</w:t>
      </w:r>
      <w:r>
        <w:rPr>
          <w:rFonts w:eastAsia="方正仿宋_GBK"/>
          <w:sz w:val="32"/>
        </w:rPr>
        <w:t>万元（含上年结转</w:t>
      </w:r>
      <w:r>
        <w:rPr>
          <w:rFonts w:hint="eastAsia" w:eastAsia="方正仿宋_GBK"/>
          <w:sz w:val="32"/>
        </w:rPr>
        <w:t>14.3</w:t>
      </w:r>
      <w:r>
        <w:rPr>
          <w:rFonts w:eastAsia="方正仿宋_GBK"/>
          <w:sz w:val="32"/>
        </w:rPr>
        <w:t>万元）</w:t>
      </w:r>
      <w:r>
        <w:rPr>
          <w:rFonts w:hint="eastAsia" w:eastAsia="方正仿宋_GBK"/>
          <w:sz w:val="32"/>
        </w:rPr>
        <w:t>，</w:t>
      </w:r>
      <w:r>
        <w:rPr>
          <w:rFonts w:eastAsia="方正仿宋_GBK"/>
          <w:sz w:val="32"/>
        </w:rPr>
        <w:t>一般公共预算财政拨款支出</w:t>
      </w:r>
      <w:r>
        <w:rPr>
          <w:rFonts w:hint="eastAsia" w:eastAsia="方正仿宋_GBK"/>
          <w:sz w:val="32"/>
        </w:rPr>
        <w:t>717.33</w:t>
      </w:r>
      <w:r>
        <w:rPr>
          <w:rFonts w:eastAsia="方正仿宋_GBK"/>
          <w:sz w:val="32"/>
        </w:rPr>
        <w:t>万元，比2023年减少</w:t>
      </w:r>
      <w:r>
        <w:rPr>
          <w:rFonts w:hint="eastAsia" w:eastAsia="方正仿宋_GBK"/>
          <w:sz w:val="32"/>
        </w:rPr>
        <w:t>45.36</w:t>
      </w:r>
      <w:r>
        <w:rPr>
          <w:rFonts w:eastAsia="方正仿宋_GBK"/>
          <w:sz w:val="32"/>
        </w:rPr>
        <w:t>万元。其中：基本支出</w:t>
      </w:r>
      <w:r>
        <w:rPr>
          <w:rFonts w:hint="eastAsia" w:eastAsia="方正仿宋_GBK"/>
          <w:sz w:val="32"/>
        </w:rPr>
        <w:t>660.72</w:t>
      </w:r>
      <w:r>
        <w:rPr>
          <w:rFonts w:eastAsia="方正仿宋_GBK"/>
          <w:sz w:val="32"/>
        </w:rPr>
        <w:t>万元，比2023年减少</w:t>
      </w:r>
      <w:r>
        <w:rPr>
          <w:rFonts w:hint="eastAsia" w:eastAsia="方正仿宋_GBK"/>
          <w:sz w:val="32"/>
        </w:rPr>
        <w:t>32.4</w:t>
      </w:r>
      <w:r>
        <w:rPr>
          <w:rFonts w:eastAsia="方正仿宋_GBK"/>
          <w:sz w:val="32"/>
        </w:rPr>
        <w:t>万元，主要原因是</w:t>
      </w:r>
      <w:r>
        <w:rPr>
          <w:rFonts w:hint="eastAsia" w:ascii="方正仿宋_GBK" w:eastAsia="方正仿宋_GBK"/>
          <w:sz w:val="32"/>
        </w:rPr>
        <w:t>在职教师两人退休减少，学生人数减少，</w:t>
      </w:r>
      <w:r>
        <w:rPr>
          <w:rFonts w:ascii="方正仿宋_GBK" w:hAnsi="方正仿宋_GBK" w:eastAsia="方正仿宋_GBK" w:cs="方正仿宋_GBK"/>
          <w:sz w:val="32"/>
          <w:szCs w:val="32"/>
          <w:shd w:val="clear" w:color="auto" w:fill="FFFFFF"/>
        </w:rPr>
        <w:t>人员工资待遇及生均公用经费支出减少</w:t>
      </w:r>
      <w:r>
        <w:rPr>
          <w:rFonts w:hint="eastAsia" w:eastAsia="方正仿宋_GBK"/>
          <w:sz w:val="32"/>
        </w:rPr>
        <w:t>，</w:t>
      </w:r>
      <w:r>
        <w:rPr>
          <w:rFonts w:eastAsia="方正仿宋_GBK"/>
          <w:sz w:val="32"/>
        </w:rPr>
        <w:t>主要用于</w:t>
      </w:r>
      <w:r>
        <w:rPr>
          <w:rFonts w:hint="eastAsia" w:eastAsia="方正仿宋_GBK"/>
          <w:sz w:val="32"/>
        </w:rPr>
        <w:t>保障教育系统在职人员工资福利及社会保险缴费，退休人员补助等，保障部门正常运转的各项商品服务支出</w:t>
      </w:r>
      <w:r>
        <w:rPr>
          <w:rFonts w:eastAsia="方正仿宋_GBK"/>
          <w:sz w:val="32"/>
        </w:rPr>
        <w:t>；项目支出</w:t>
      </w:r>
      <w:r>
        <w:rPr>
          <w:rFonts w:hint="eastAsia" w:eastAsia="方正仿宋_GBK"/>
          <w:sz w:val="32"/>
        </w:rPr>
        <w:t>56.61</w:t>
      </w:r>
      <w:r>
        <w:rPr>
          <w:rFonts w:eastAsia="方正仿宋_GBK"/>
          <w:sz w:val="32"/>
        </w:rPr>
        <w:t>万元，比2023年减少</w:t>
      </w:r>
      <w:r>
        <w:rPr>
          <w:rFonts w:hint="eastAsia" w:eastAsia="方正仿宋_GBK"/>
          <w:sz w:val="32"/>
        </w:rPr>
        <w:t>12.96</w:t>
      </w:r>
      <w:r>
        <w:rPr>
          <w:rFonts w:eastAsia="方正仿宋_GBK"/>
          <w:sz w:val="32"/>
        </w:rPr>
        <w:t>万元，主要原因</w:t>
      </w:r>
      <w:r>
        <w:rPr>
          <w:rFonts w:hint="eastAsia" w:eastAsia="方正仿宋_GBK"/>
          <w:sz w:val="32"/>
        </w:rPr>
        <w:t>学前教育、义务教育学生数减少，导致学生资助、农村学前和义务教育学生营养改善计划减少，另外维修项目毛成校区电力及外墙排危完工并实现支付。项目资金主要用于学生资助、农村学前和义务教育学生营养改善计划、义教保障机制、义务教育薄弱环节改善与能力提升。</w:t>
      </w:r>
    </w:p>
    <w:p>
      <w:pPr>
        <w:overflowPunct w:val="0"/>
        <w:spacing w:line="600" w:lineRule="exact"/>
        <w:ind w:firstLine="640" w:firstLineChars="200"/>
        <w:rPr>
          <w:rFonts w:eastAsia="方正仿宋_GBK"/>
          <w:sz w:val="32"/>
        </w:rPr>
      </w:pPr>
      <w:r>
        <w:rPr>
          <w:rFonts w:hint="eastAsia" w:eastAsia="方正仿宋_GBK"/>
          <w:sz w:val="32"/>
          <w:szCs w:val="32"/>
        </w:rPr>
        <w:t>重庆市开州区郭家镇津关中心小学</w:t>
      </w:r>
      <w:r>
        <w:rPr>
          <w:rFonts w:eastAsia="方正仿宋_GBK"/>
          <w:sz w:val="32"/>
        </w:rPr>
        <w:t>202</w:t>
      </w:r>
      <w:r>
        <w:rPr>
          <w:rFonts w:hint="eastAsia" w:eastAsia="方正仿宋_GBK"/>
          <w:sz w:val="32"/>
        </w:rPr>
        <w:t>4</w:t>
      </w:r>
      <w:r>
        <w:rPr>
          <w:rFonts w:eastAsia="方正仿宋_GBK"/>
          <w:sz w:val="32"/>
        </w:rPr>
        <w:t>年无使用政府性基金预算拨款安排的支出。</w:t>
      </w:r>
    </w:p>
    <w:p>
      <w:pPr>
        <w:overflowPunct w:val="0"/>
        <w:spacing w:line="600"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pPr>
        <w:spacing w:line="600" w:lineRule="exact"/>
        <w:ind w:firstLine="640"/>
        <w:rPr>
          <w:rFonts w:eastAsia="方正仿宋_GBK"/>
          <w:sz w:val="32"/>
        </w:rPr>
      </w:pPr>
      <w:r>
        <w:rPr>
          <w:rFonts w:hint="eastAsia" w:eastAsia="方正仿宋_GBK"/>
          <w:sz w:val="32"/>
          <w:szCs w:val="32"/>
        </w:rPr>
        <w:t>重庆市开州区郭家镇津关中心小学</w:t>
      </w:r>
      <w:r>
        <w:rPr>
          <w:rFonts w:eastAsia="方正仿宋_GBK"/>
          <w:sz w:val="32"/>
        </w:rPr>
        <w:t>2024年</w:t>
      </w:r>
      <w:r>
        <w:rPr>
          <w:rFonts w:hint="eastAsia" w:eastAsia="方正仿宋_GBK"/>
          <w:sz w:val="32"/>
        </w:rPr>
        <w:t>未安排</w:t>
      </w:r>
      <w:r>
        <w:rPr>
          <w:rFonts w:eastAsia="方正仿宋_GBK"/>
          <w:sz w:val="32"/>
        </w:rPr>
        <w:t>“三公”经费预算。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overflowPunct w:val="0"/>
        <w:spacing w:line="600" w:lineRule="exact"/>
        <w:ind w:firstLine="640" w:firstLineChars="200"/>
        <w:rPr>
          <w:rFonts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hint="eastAsia" w:eastAsia="方正仿宋_GBK"/>
          <w:sz w:val="32"/>
          <w:szCs w:val="32"/>
        </w:rPr>
        <w:t>重庆市开州区郭家镇津关中心小学</w:t>
      </w:r>
      <w:r>
        <w:rPr>
          <w:rFonts w:eastAsia="方正仿宋_GBK"/>
          <w:sz w:val="32"/>
        </w:rPr>
        <w:t>2024年</w:t>
      </w:r>
      <w:r>
        <w:rPr>
          <w:rFonts w:hint="eastAsia" w:eastAsia="方正仿宋_GBK"/>
          <w:sz w:val="32"/>
        </w:rPr>
        <w:t>无</w:t>
      </w:r>
      <w:r>
        <w:rPr>
          <w:rFonts w:eastAsia="方正仿宋_GBK"/>
          <w:sz w:val="32"/>
        </w:rPr>
        <w:t>政府采购预算</w:t>
      </w:r>
      <w:r>
        <w:rPr>
          <w:rFonts w:hint="eastAsia" w:eastAsia="方正仿宋_GBK"/>
          <w:sz w:val="32"/>
        </w:rPr>
        <w:t>安排</w:t>
      </w:r>
      <w:r>
        <w:rPr>
          <w:rFonts w:eastAsia="方正仿宋_GBK"/>
          <w:sz w:val="32"/>
        </w:rPr>
        <w:t>。</w:t>
      </w:r>
    </w:p>
    <w:p>
      <w:pPr>
        <w:overflowPunct w:val="0"/>
        <w:spacing w:line="600" w:lineRule="exact"/>
        <w:ind w:firstLine="640"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42.31</w:t>
      </w:r>
      <w:r>
        <w:rPr>
          <w:rFonts w:eastAsia="方正仿宋_GBK"/>
          <w:color w:val="000000"/>
          <w:sz w:val="32"/>
        </w:rPr>
        <w:t>万元。</w:t>
      </w:r>
    </w:p>
    <w:p>
      <w:pPr>
        <w:overflowPunct w:val="0"/>
        <w:spacing w:line="600" w:lineRule="exact"/>
        <w:ind w:firstLine="640"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辆。2024年一般公共预算安排购置车辆</w:t>
      </w:r>
      <w:r>
        <w:rPr>
          <w:rFonts w:hint="eastAsia" w:eastAsia="方正仿宋_GBK"/>
          <w:color w:val="000000"/>
          <w:sz w:val="32"/>
        </w:rPr>
        <w:t>0</w:t>
      </w:r>
      <w:r>
        <w:rPr>
          <w:rFonts w:eastAsia="方正仿宋_GBK"/>
          <w:color w:val="000000"/>
          <w:sz w:val="32"/>
        </w:rPr>
        <w:t>辆，其中一般公务用车</w:t>
      </w:r>
      <w:r>
        <w:rPr>
          <w:rFonts w:hint="eastAsia" w:eastAsia="方正仿宋_GBK"/>
          <w:color w:val="000000"/>
          <w:sz w:val="32"/>
        </w:rPr>
        <w:t>0</w:t>
      </w:r>
      <w:r>
        <w:rPr>
          <w:rFonts w:eastAsia="方正仿宋_GBK"/>
          <w:color w:val="000000"/>
          <w:sz w:val="32"/>
        </w:rPr>
        <w:t>辆、执勤执法用车</w:t>
      </w:r>
      <w:r>
        <w:rPr>
          <w:rFonts w:hint="eastAsia" w:eastAsia="方正仿宋_GBK"/>
          <w:color w:val="000000"/>
          <w:sz w:val="32"/>
        </w:rPr>
        <w:t>0</w:t>
      </w:r>
      <w:r>
        <w:rPr>
          <w:rFonts w:eastAsia="方正仿宋_GBK"/>
          <w:color w:val="000000"/>
          <w:sz w:val="32"/>
        </w:rPr>
        <w:t>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ascii="方正黑体_GBK" w:eastAsia="方正黑体_GBK"/>
          <w:sz w:val="32"/>
        </w:rPr>
      </w:pPr>
      <w:r>
        <w:rPr>
          <w:rFonts w:hint="eastAsia" w:ascii="方正黑体_GBK" w:eastAsia="方正黑体_GBK"/>
          <w:sz w:val="32"/>
        </w:rPr>
        <w:t>2024年部门预算公开报表（详见附表</w:t>
      </w:r>
      <w:r>
        <w:rPr>
          <w:rFonts w:hint="eastAsia" w:ascii="方正黑体_GBK" w:eastAsia="方正黑体_GBK"/>
          <w:sz w:val="32"/>
          <w:szCs w:val="32"/>
        </w:rPr>
        <w:t>重庆市开州区郭家镇津关中心小学</w:t>
      </w:r>
      <w:r>
        <w:rPr>
          <w:rFonts w:hint="eastAsia" w:ascii="方正黑体_GBK" w:eastAsia="方正黑体_GBK"/>
          <w:sz w:val="32"/>
        </w:rPr>
        <w:t>2024年部门预算公开报表）</w:t>
      </w:r>
    </w:p>
    <w:p>
      <w:pPr>
        <w:spacing w:line="600" w:lineRule="exact"/>
        <w:ind w:firstLine="640" w:firstLineChars="200"/>
        <w:rPr>
          <w:rFonts w:ascii="方正黑体_GBK" w:eastAsia="方正黑体_GBK"/>
          <w:sz w:val="32"/>
        </w:rPr>
      </w:pPr>
    </w:p>
    <w:p>
      <w:pPr>
        <w:spacing w:line="600" w:lineRule="exact"/>
        <w:rPr>
          <w:rFonts w:ascii="方正仿宋_GBK" w:eastAsia="方正仿宋_GBK"/>
          <w:sz w:val="32"/>
          <w:szCs w:val="32"/>
        </w:rPr>
      </w:pPr>
      <w:r>
        <w:rPr>
          <w:rFonts w:hint="eastAsia" w:ascii="方正仿宋_GBK" w:eastAsia="方正仿宋_GBK"/>
          <w:b/>
          <w:sz w:val="32"/>
        </w:rPr>
        <w:t>部门预算公开联系人：毕怀华 联系方式：023-52489023</w:t>
      </w:r>
    </w:p>
    <w:p>
      <w:pPr>
        <w:spacing w:line="600" w:lineRule="exact"/>
        <w:rPr>
          <w:rFonts w:ascii="方正仿宋_GBK" w:eastAsia="方正仿宋_GBK"/>
        </w:rPr>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right"/>
        <w:rPr>
          <w:rFonts w:eastAsia="方正仿宋_GBK"/>
          <w:sz w:val="32"/>
          <w:szCs w:val="32"/>
        </w:rPr>
      </w:pPr>
      <w:r>
        <w:rPr>
          <w:rFonts w:hint="eastAsia" w:eastAsia="方正仿宋_GBK"/>
          <w:sz w:val="32"/>
          <w:szCs w:val="32"/>
        </w:rPr>
        <w:t>重庆市开州区郭家镇津关中心小学</w:t>
      </w:r>
    </w:p>
    <w:p>
      <w:pPr>
        <w:spacing w:line="600" w:lineRule="exact"/>
        <w:jc w:val="right"/>
        <w:rPr>
          <w:rFonts w:eastAsia="方正仿宋_GBK"/>
          <w:sz w:val="32"/>
          <w:szCs w:val="32"/>
        </w:rPr>
      </w:pPr>
      <w:r>
        <w:rPr>
          <w:rFonts w:hint="eastAsia" w:eastAsia="方正仿宋_GBK"/>
          <w:sz w:val="32"/>
          <w:szCs w:val="32"/>
        </w:rPr>
        <w:t>2024年3月21日</w:t>
      </w:r>
    </w:p>
    <w:p>
      <w:pPr>
        <w:spacing w:line="600" w:lineRule="exact"/>
        <w:jc w:val="right"/>
        <w:rPr>
          <w:rFonts w:eastAsia="方正仿宋_GBK"/>
          <w:sz w:val="32"/>
          <w:szCs w:val="32"/>
        </w:rPr>
      </w:pPr>
    </w:p>
    <w:p>
      <w:pPr>
        <w:spacing w:line="600" w:lineRule="exact"/>
        <w:jc w:val="right"/>
        <w:rPr>
          <w:rFonts w:eastAsia="方正仿宋_GBK"/>
          <w:sz w:val="32"/>
          <w:szCs w:val="32"/>
        </w:rPr>
      </w:pPr>
    </w:p>
    <w:p>
      <w:pPr>
        <w:spacing w:line="600" w:lineRule="exact"/>
        <w:jc w:val="right"/>
        <w:rPr>
          <w:rFonts w:eastAsia="方正仿宋_GBK"/>
          <w:sz w:val="32"/>
          <w:szCs w:val="32"/>
        </w:rPr>
      </w:pPr>
    </w:p>
    <w:p>
      <w:pPr>
        <w:spacing w:line="600" w:lineRule="exact"/>
        <w:jc w:val="right"/>
        <w:rPr>
          <w:rFonts w:eastAsia="方正仿宋_GBK"/>
          <w:sz w:val="32"/>
          <w:szCs w:val="32"/>
        </w:rPr>
      </w:pPr>
    </w:p>
    <w:p>
      <w:pPr>
        <w:rPr>
          <w:rFonts w:eastAsia="方正仿宋_GBK"/>
          <w:sz w:val="28"/>
          <w:szCs w:val="28"/>
        </w:rPr>
      </w:pPr>
    </w:p>
    <w:p>
      <w:pPr>
        <w:pBdr>
          <w:top w:val="single" w:color="auto" w:sz="4" w:space="1"/>
          <w:left w:val="none" w:color="auto" w:sz="0" w:space="4"/>
          <w:bottom w:val="single" w:color="auto" w:sz="4" w:space="1"/>
          <w:right w:val="none" w:color="auto" w:sz="0" w:space="4"/>
        </w:pBdr>
        <w:rPr>
          <w:rFonts w:eastAsia="方正仿宋_GBK"/>
          <w:sz w:val="28"/>
          <w:szCs w:val="28"/>
        </w:rPr>
      </w:pPr>
      <w:r>
        <w:rPr>
          <w:rFonts w:hint="eastAsia" w:eastAsia="方正仿宋_GBK"/>
          <w:sz w:val="28"/>
          <w:szCs w:val="28"/>
        </w:rPr>
        <w:t>重庆市开州区郭家镇津关中心小学             2024年3月21日印发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firstLine="36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4</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129C6EB1"/>
    <w:rsid w:val="00082D00"/>
    <w:rsid w:val="000F0944"/>
    <w:rsid w:val="00150081"/>
    <w:rsid w:val="00192A2C"/>
    <w:rsid w:val="001A2973"/>
    <w:rsid w:val="001A60A1"/>
    <w:rsid w:val="00222653"/>
    <w:rsid w:val="00274A87"/>
    <w:rsid w:val="002E4965"/>
    <w:rsid w:val="003B0D13"/>
    <w:rsid w:val="0041482D"/>
    <w:rsid w:val="004B4900"/>
    <w:rsid w:val="005422FB"/>
    <w:rsid w:val="005673CC"/>
    <w:rsid w:val="00612686"/>
    <w:rsid w:val="0068623E"/>
    <w:rsid w:val="006B03DD"/>
    <w:rsid w:val="006B3175"/>
    <w:rsid w:val="00722294"/>
    <w:rsid w:val="0073589A"/>
    <w:rsid w:val="007A3F61"/>
    <w:rsid w:val="008E4F91"/>
    <w:rsid w:val="00936A5D"/>
    <w:rsid w:val="009A01D4"/>
    <w:rsid w:val="00A9231A"/>
    <w:rsid w:val="00B30CB9"/>
    <w:rsid w:val="00B735F6"/>
    <w:rsid w:val="00BB3E27"/>
    <w:rsid w:val="00BE3094"/>
    <w:rsid w:val="00C23105"/>
    <w:rsid w:val="00C6089C"/>
    <w:rsid w:val="00CA4850"/>
    <w:rsid w:val="00D43B09"/>
    <w:rsid w:val="00D85E76"/>
    <w:rsid w:val="00EE7B01"/>
    <w:rsid w:val="00F55350"/>
    <w:rsid w:val="00FD752F"/>
    <w:rsid w:val="01E46D89"/>
    <w:rsid w:val="0334118C"/>
    <w:rsid w:val="03FB485E"/>
    <w:rsid w:val="086A3D60"/>
    <w:rsid w:val="0A486323"/>
    <w:rsid w:val="106D0892"/>
    <w:rsid w:val="11631517"/>
    <w:rsid w:val="129C6EB1"/>
    <w:rsid w:val="15210312"/>
    <w:rsid w:val="157A61DC"/>
    <w:rsid w:val="159804CA"/>
    <w:rsid w:val="221F7512"/>
    <w:rsid w:val="2DAA2693"/>
    <w:rsid w:val="33B2468A"/>
    <w:rsid w:val="33ED121E"/>
    <w:rsid w:val="34092253"/>
    <w:rsid w:val="353A4937"/>
    <w:rsid w:val="36EC1C61"/>
    <w:rsid w:val="39186D3D"/>
    <w:rsid w:val="4269060A"/>
    <w:rsid w:val="43C875B2"/>
    <w:rsid w:val="4AFD42D7"/>
    <w:rsid w:val="4C3A6B73"/>
    <w:rsid w:val="51E23F34"/>
    <w:rsid w:val="56535401"/>
    <w:rsid w:val="58C6010C"/>
    <w:rsid w:val="60641B67"/>
    <w:rsid w:val="620074EA"/>
    <w:rsid w:val="641C5084"/>
    <w:rsid w:val="6F2E0918"/>
    <w:rsid w:val="70D32F6E"/>
    <w:rsid w:val="753D57F4"/>
    <w:rsid w:val="76EA4FA3"/>
    <w:rsid w:val="7AD8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firstLineChars="200"/>
    </w:pPr>
    <w:rPr>
      <w:rFonts w:ascii="仿宋_GB2312" w:eastAsia="仿宋_GB2312"/>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right w:val="none" w:color="auto" w:sz="0" w:space="4"/>
      </w:pBdr>
      <w:tabs>
        <w:tab w:val="center" w:pos="4153"/>
        <w:tab w:val="right" w:pos="8306"/>
      </w:tabs>
      <w:snapToGrid w:val="0"/>
    </w:pPr>
    <w:rPr>
      <w:sz w:val="18"/>
    </w:rPr>
  </w:style>
  <w:style w:type="paragraph" w:styleId="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376</Words>
  <Characters>2145</Characters>
  <Lines>17</Lines>
  <Paragraphs>5</Paragraphs>
  <TotalTime>7</TotalTime>
  <ScaleCrop>false</ScaleCrop>
  <LinksUpToDate>false</LinksUpToDate>
  <CharactersWithSpaces>2516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2024-03-06T01:37:00Z</dcterms:created>
  <dc:creator>企业用户_679650690</dc:creator>
  <cp:lastModifiedBy>Administrator</cp:lastModifiedBy>
  <dcterms:modified xsi:type="dcterms:W3CDTF">2024-03-29T02:28:27Z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92EF2A5E20D14C33AC788C9F08330779_11</vt:lpwstr>
  </property>
</Properties>
</file>