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color w:val="FF0000"/>
          <w:sz w:val="72"/>
          <w:szCs w:val="72"/>
        </w:rPr>
      </w:pPr>
      <w:bookmarkStart w:id="0" w:name="_GoBack"/>
      <w:bookmarkEnd w:id="0"/>
      <w:r>
        <w:rPr>
          <w:sz w:val="52"/>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-69850</wp:posOffset>
                </wp:positionV>
                <wp:extent cx="6252845" cy="9531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52845" cy="953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b/>
                                <w:bCs/>
                                <w:color w:val="FF0000"/>
                                <w:sz w:val="72"/>
                                <w:szCs w:val="72"/>
                                <w14:shadow w14:blurRad="38100" w14:dist="19050" w14:dir="2700000" w14:sx="100000" w14:sy="100000" w14:kx="0" w14:ky="0" w14:algn="tl">
                                  <w14:schemeClr w14:val="dk1">
                                    <w14:alpha w14:val="60000"/>
                                  </w14:schemeClr>
                                </w14:shadow>
                              </w:rPr>
                            </w:pPr>
                            <w:r>
                              <w:rPr>
                                <w:rFonts w:hint="eastAsia"/>
                                <w:b/>
                                <w:bCs/>
                                <w:color w:val="FF0000"/>
                                <w:sz w:val="72"/>
                                <w:szCs w:val="72"/>
                                <w14:shadow w14:blurRad="38100" w14:dist="19050" w14:dir="2700000" w14:sx="100000" w14:sy="100000" w14:kx="0" w14:ky="0" w14:algn="tl">
                                  <w14:schemeClr w14:val="dk1">
                                    <w14:alpha w14:val="60000"/>
                                  </w14:schemeClr>
                                </w14:shadow>
                              </w:rPr>
                              <w:t>重庆开州区汉丰第九小学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5.5pt;height:75.05pt;width:492.35pt;z-index:251662336;mso-width-relative:page;mso-height-relative:page;" filled="f" stroked="f" coordsize="21600,21600" o:gfxdata="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o5GvF2wAAAAsBAAAPAAAAAAAAAAEAIAAAACIAAABk&#10;cnMvZG93bnJldi54bWxQSwECFAAUAAAACACHTuJAA6ATwDwCAABmBAAADgAAAAAAAAABACAAAAAq&#10;AQAAZHJzL2Uyb0RvYy54bWxQSwUGAAAAAAYABgBZAQAA2AUAAAAA&#10;">
                <v:fill on="f" focussize="0,0"/>
                <v:stroke on="f" weight="0.5pt"/>
                <v:imagedata o:title=""/>
                <o:lock v:ext="edit" aspectratio="f"/>
                <v:textbox>
                  <w:txbxContent>
                    <w:p>
                      <w:pPr>
                        <w:jc w:val="distribute"/>
                        <w:rPr>
                          <w:b/>
                          <w:bCs/>
                          <w:color w:val="FF0000"/>
                          <w:sz w:val="72"/>
                          <w:szCs w:val="72"/>
                          <w14:shadow w14:blurRad="38100" w14:dist="19050" w14:dir="2700000" w14:sx="100000" w14:sy="100000" w14:kx="0" w14:ky="0" w14:algn="tl">
                            <w14:schemeClr w14:val="dk1">
                              <w14:alpha w14:val="60000"/>
                            </w14:schemeClr>
                          </w14:shadow>
                        </w:rPr>
                      </w:pPr>
                      <w:r>
                        <w:rPr>
                          <w:rFonts w:hint="eastAsia"/>
                          <w:b/>
                          <w:bCs/>
                          <w:color w:val="FF0000"/>
                          <w:sz w:val="72"/>
                          <w:szCs w:val="72"/>
                          <w14:shadow w14:blurRad="38100" w14:dist="19050" w14:dir="2700000" w14:sx="100000" w14:sy="100000" w14:kx="0" w14:ky="0" w14:algn="tl">
                            <w14:schemeClr w14:val="dk1">
                              <w14:alpha w14:val="60000"/>
                            </w14:schemeClr>
                          </w14:shadow>
                        </w:rPr>
                        <w:t>重庆开州区汉丰第九小学</w:t>
                      </w:r>
                    </w:p>
                  </w:txbxContent>
                </v:textbox>
              </v:shape>
            </w:pict>
          </mc:Fallback>
        </mc:AlternateContent>
      </w:r>
    </w:p>
    <w:p>
      <w:pPr>
        <w:spacing w:line="100" w:lineRule="exact"/>
        <w:jc w:val="center"/>
        <w:rPr>
          <w:rFonts w:eastAsia="黑体"/>
          <w:sz w:val="36"/>
        </w:rPr>
      </w:pPr>
    </w:p>
    <w:p>
      <w:pPr>
        <w:spacing w:line="600" w:lineRule="exact"/>
        <w:jc w:val="center"/>
        <w:rPr>
          <w:rFonts w:eastAsia="方正仿宋_GBK"/>
          <w:sz w:val="32"/>
        </w:rPr>
      </w:pPr>
    </w:p>
    <w:p>
      <w:pPr>
        <w:spacing w:line="360" w:lineRule="exact"/>
        <w:jc w:val="center"/>
        <w:rPr>
          <w:rFonts w:eastAsia="方正仿宋_GBK"/>
          <w:sz w:val="32"/>
        </w:rPr>
      </w:pPr>
    </w:p>
    <w:p>
      <w:pPr>
        <w:spacing w:line="360" w:lineRule="exact"/>
        <w:jc w:val="center"/>
        <w:rPr>
          <w:rFonts w:eastAsia="方正仿宋_GBK"/>
          <w:sz w:val="32"/>
        </w:rPr>
      </w:pPr>
    </w:p>
    <w:p>
      <w:pPr>
        <w:spacing w:line="360" w:lineRule="exact"/>
        <w:jc w:val="center"/>
        <w:rPr>
          <w:rFonts w:eastAsia="方正仿宋_GBK"/>
          <w:sz w:val="32"/>
        </w:rPr>
      </w:pPr>
      <w:r>
        <w:rPr>
          <w:rFonts w:eastAsia="方正仿宋_GBK"/>
          <w:sz w:val="32"/>
        </w:rPr>
        <w:t>开州</w:t>
      </w:r>
      <w:r>
        <w:rPr>
          <w:rFonts w:hint="eastAsia" w:eastAsia="方正仿宋_GBK"/>
          <w:sz w:val="32"/>
        </w:rPr>
        <w:t>九小</w:t>
      </w:r>
      <w:r>
        <w:rPr>
          <w:rFonts w:eastAsia="方正仿宋_GBK"/>
          <w:color w:val="000000"/>
          <w:sz w:val="32"/>
          <w:szCs w:val="32"/>
        </w:rPr>
        <w:t>〔2024〕</w:t>
      </w:r>
      <w:r>
        <w:rPr>
          <w:rFonts w:hint="eastAsia" w:eastAsia="方正仿宋_GBK"/>
          <w:sz w:val="32"/>
          <w:szCs w:val="32"/>
        </w:rPr>
        <w:t>2</w:t>
      </w:r>
      <w:r>
        <w:rPr>
          <w:rFonts w:eastAsia="方正仿宋_GBK"/>
          <w:sz w:val="32"/>
        </w:rPr>
        <w:t>号               签发人：</w:t>
      </w:r>
      <w:r>
        <w:rPr>
          <w:rFonts w:hint="eastAsia" w:eastAsia="方正楷体_GBK"/>
          <w:sz w:val="32"/>
        </w:rPr>
        <w:t>廖玉才</w:t>
      </w:r>
    </w:p>
    <w:p>
      <w:pPr>
        <w:spacing w:line="360" w:lineRule="exact"/>
        <w:rPr>
          <w:rFonts w:ascii="方正仿宋_GBK" w:hAnsi="方正仿宋_GBK" w:eastAsia="方正小标宋简体" w:cs="方正仿宋_GBK"/>
          <w:sz w:val="32"/>
          <w:szCs w:val="32"/>
        </w:rPr>
      </w:pPr>
      <w:r>
        <w:rPr>
          <w:rFonts w:eastAsia="方正小标宋简体"/>
          <w:sz w:val="42"/>
          <w:szCs w:val="44"/>
          <w:u w:val="thick" w:color="FF0000"/>
        </w:rPr>
        <w:t xml:space="preserve">                                       </w:t>
      </w:r>
      <w:r>
        <w:rPr>
          <w:rFonts w:hint="eastAsia" w:eastAsia="方正小标宋简体"/>
          <w:sz w:val="42"/>
          <w:szCs w:val="44"/>
          <w:u w:val="thick" w:color="FF0000"/>
        </w:rPr>
        <w:t xml:space="preserve">    </w:t>
      </w:r>
    </w:p>
    <w:p>
      <w:pPr>
        <w:pStyle w:val="4"/>
        <w:spacing w:line="600" w:lineRule="exact"/>
        <w:ind w:firstLine="0" w:firstLineChars="0"/>
        <w:jc w:val="center"/>
        <w:rPr>
          <w:rFonts w:ascii="方正小标宋_GBK" w:hAnsi="方正小标宋_GBK" w:eastAsia="方正小标宋_GBK" w:cs="方正小标宋_GBK"/>
          <w:b/>
          <w:bCs/>
          <w:sz w:val="44"/>
          <w:szCs w:val="44"/>
        </w:rPr>
      </w:pPr>
    </w:p>
    <w:p>
      <w:pPr>
        <w:spacing w:line="600" w:lineRule="exact"/>
        <w:jc w:val="center"/>
        <w:rPr>
          <w:rFonts w:ascii="方正仿宋_GBK" w:eastAsia="方正仿宋_GBK"/>
          <w:b/>
          <w:sz w:val="44"/>
          <w:szCs w:val="44"/>
        </w:rPr>
      </w:pPr>
      <w:r>
        <w:rPr>
          <w:rFonts w:hint="eastAsia" w:ascii="方正仿宋_GBK" w:eastAsia="方正仿宋_GBK"/>
          <w:b/>
          <w:sz w:val="44"/>
          <w:szCs w:val="44"/>
        </w:rPr>
        <w:t>重庆市开州区汉丰第九小学</w:t>
      </w:r>
    </w:p>
    <w:p>
      <w:pPr>
        <w:spacing w:line="600" w:lineRule="exact"/>
        <w:jc w:val="center"/>
        <w:rPr>
          <w:rFonts w:ascii="方正仿宋_GBK" w:hAnsi="宋体" w:eastAsia="方正仿宋_GBK" w:cs="宋体"/>
          <w:b/>
          <w:sz w:val="44"/>
          <w:szCs w:val="44"/>
        </w:rPr>
      </w:pPr>
      <w:r>
        <w:rPr>
          <w:rFonts w:hint="eastAsia" w:ascii="方正仿宋_GBK" w:eastAsia="方正仿宋_GBK"/>
          <w:b/>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,现将重庆市开州区</w:t>
      </w:r>
      <w:r>
        <w:rPr>
          <w:rFonts w:hint="eastAsia" w:eastAsia="方正仿宋_GBK"/>
          <w:sz w:val="32"/>
          <w:szCs w:val="32"/>
        </w:rPr>
        <w:t>汉丰第九小学</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r>
        <w:rPr>
          <w:rFonts w:eastAsia="方正仿宋_GBK"/>
          <w:sz w:val="32"/>
          <w:szCs w:val="32"/>
        </w:rPr>
        <w:br w:type="page"/>
      </w: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表1、重庆市开州区</w:t>
      </w:r>
      <w:r>
        <w:rPr>
          <w:rFonts w:hint="eastAsia" w:eastAsia="方正仿宋_GBK"/>
          <w:sz w:val="32"/>
          <w:szCs w:val="32"/>
        </w:rPr>
        <w:t>汉丰第九小学收支预算总表</w:t>
      </w:r>
    </w:p>
    <w:p>
      <w:pPr>
        <w:spacing w:line="600" w:lineRule="exact"/>
        <w:rPr>
          <w:rFonts w:eastAsia="方正仿宋_GBK"/>
          <w:sz w:val="32"/>
          <w:szCs w:val="32"/>
        </w:rPr>
      </w:pPr>
      <w:r>
        <w:rPr>
          <w:rFonts w:eastAsia="方正仿宋_GBK"/>
          <w:sz w:val="32"/>
          <w:szCs w:val="32"/>
        </w:rPr>
        <w:t>表2、重庆市开州区</w:t>
      </w:r>
      <w:r>
        <w:rPr>
          <w:rFonts w:hint="eastAsia" w:eastAsia="方正仿宋_GBK"/>
          <w:sz w:val="32"/>
          <w:szCs w:val="32"/>
        </w:rPr>
        <w:t>汉丰第九小学</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表3、重庆市开州区</w:t>
      </w:r>
      <w:r>
        <w:rPr>
          <w:rFonts w:hint="eastAsia" w:eastAsia="方正仿宋_GBK"/>
          <w:sz w:val="32"/>
          <w:szCs w:val="32"/>
        </w:rPr>
        <w:t>汉丰第九小学本年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表4、重庆市开州区</w:t>
      </w:r>
      <w:r>
        <w:rPr>
          <w:rFonts w:hint="eastAsia" w:eastAsia="方正仿宋_GBK"/>
          <w:sz w:val="32"/>
          <w:szCs w:val="32"/>
        </w:rPr>
        <w:t>汉丰第九小学</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表5、重庆市开州区</w:t>
      </w:r>
      <w:r>
        <w:rPr>
          <w:rFonts w:hint="eastAsia" w:eastAsia="方正仿宋_GBK"/>
          <w:sz w:val="32"/>
          <w:szCs w:val="32"/>
        </w:rPr>
        <w:t>汉丰第九小学本年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表6、重庆市开州区</w:t>
      </w:r>
      <w:r>
        <w:rPr>
          <w:rFonts w:hint="eastAsia" w:eastAsia="方正仿宋_GBK"/>
          <w:sz w:val="32"/>
          <w:szCs w:val="32"/>
        </w:rPr>
        <w:t>汉丰第九小学</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ind w:left="960" w:hanging="960" w:hangingChars="300"/>
        <w:rPr>
          <w:rFonts w:eastAsia="方正仿宋_GBK"/>
          <w:sz w:val="32"/>
          <w:szCs w:val="32"/>
        </w:rPr>
      </w:pPr>
      <w:r>
        <w:rPr>
          <w:rFonts w:eastAsia="方正仿宋_GBK"/>
          <w:sz w:val="32"/>
          <w:szCs w:val="32"/>
        </w:rPr>
        <w:t>表7、重庆市开州区</w:t>
      </w:r>
      <w:r>
        <w:rPr>
          <w:rFonts w:hint="eastAsia" w:eastAsia="方正仿宋_GBK"/>
          <w:sz w:val="32"/>
          <w:szCs w:val="32"/>
        </w:rPr>
        <w:t>汉丰第九小学</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表8、重庆市开州区</w:t>
      </w:r>
      <w:r>
        <w:rPr>
          <w:rFonts w:hint="eastAsia" w:eastAsia="方正仿宋_GBK"/>
          <w:sz w:val="32"/>
          <w:szCs w:val="32"/>
        </w:rPr>
        <w:t>汉丰第九小学</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表9、重庆市开州区</w:t>
      </w:r>
      <w:r>
        <w:rPr>
          <w:rFonts w:hint="eastAsia" w:eastAsia="方正仿宋_GBK"/>
          <w:sz w:val="32"/>
          <w:szCs w:val="32"/>
        </w:rPr>
        <w:t>汉丰第九小学</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表10、重庆市开州区</w:t>
      </w:r>
      <w:r>
        <w:rPr>
          <w:rFonts w:hint="eastAsia" w:eastAsia="方正仿宋_GBK"/>
          <w:sz w:val="32"/>
          <w:szCs w:val="32"/>
        </w:rPr>
        <w:t>汉丰第九小学</w:t>
      </w:r>
      <w:r>
        <w:rPr>
          <w:rFonts w:eastAsia="方正仿宋_GBK"/>
          <w:sz w:val="32"/>
          <w:szCs w:val="32"/>
        </w:rPr>
        <w:t>项目支出表</w:t>
      </w:r>
    </w:p>
    <w:p>
      <w:pPr>
        <w:spacing w:line="600" w:lineRule="exact"/>
        <w:jc w:val="center"/>
        <w:rPr>
          <w:rFonts w:eastAsia="方正小标宋_GBK"/>
          <w:sz w:val="44"/>
          <w:szCs w:val="44"/>
        </w:rPr>
      </w:pPr>
      <w:r>
        <w:rPr>
          <w:rFonts w:eastAsia="方正仿宋_GBK"/>
          <w:sz w:val="32"/>
          <w:szCs w:val="32"/>
        </w:rPr>
        <w:br w:type="page"/>
      </w:r>
      <w:r>
        <w:rPr>
          <w:rFonts w:hint="eastAsia"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黑体_GBK"/>
          <w:b/>
          <w:sz w:val="32"/>
        </w:rPr>
      </w:pPr>
      <w:r>
        <w:rPr>
          <w:rFonts w:hint="eastAsia" w:ascii="方正楷体_GBK" w:eastAsia="方正楷体_GBK"/>
          <w:sz w:val="32"/>
        </w:rPr>
        <w:t>（一）职能职责</w:t>
      </w:r>
    </w:p>
    <w:p>
      <w:pPr>
        <w:overflowPunct w:val="0"/>
        <w:spacing w:line="600" w:lineRule="exact"/>
        <w:ind w:firstLine="640" w:firstLineChars="200"/>
        <w:rPr>
          <w:rFonts w:eastAsia="方正仿宋_GBK"/>
          <w:sz w:val="32"/>
        </w:rPr>
      </w:pPr>
      <w:r>
        <w:rPr>
          <w:rFonts w:hint="eastAsia" w:eastAsia="方正仿宋_GBK"/>
          <w:sz w:val="32"/>
        </w:rPr>
        <w:t>1.组织实施教育教学活动，维护学校的教学秩序。</w:t>
      </w:r>
    </w:p>
    <w:p>
      <w:pPr>
        <w:overflowPunct w:val="0"/>
        <w:spacing w:line="600" w:lineRule="exact"/>
        <w:ind w:firstLine="640" w:firstLineChars="200"/>
        <w:rPr>
          <w:rFonts w:eastAsia="方正仿宋_GBK"/>
          <w:sz w:val="32"/>
        </w:rPr>
      </w:pPr>
      <w:r>
        <w:rPr>
          <w:rFonts w:hint="eastAsia" w:eastAsia="方正仿宋_GBK"/>
          <w:sz w:val="32"/>
        </w:rPr>
        <w:t>2.对受教育者进行学籍管理，实施奖励或者处分，颁发相应的学业证书。</w:t>
      </w:r>
    </w:p>
    <w:p>
      <w:pPr>
        <w:overflowPunct w:val="0"/>
        <w:spacing w:line="600" w:lineRule="exact"/>
        <w:ind w:firstLine="640" w:firstLineChars="200"/>
        <w:rPr>
          <w:rFonts w:eastAsia="方正仿宋_GBK"/>
          <w:sz w:val="32"/>
        </w:rPr>
      </w:pPr>
      <w:r>
        <w:rPr>
          <w:rFonts w:hint="eastAsia" w:eastAsia="方正仿宋_GBK"/>
          <w:sz w:val="32"/>
        </w:rPr>
        <w:t>3.聘任教职工，实施奖励或者处分。</w:t>
      </w:r>
    </w:p>
    <w:p>
      <w:pPr>
        <w:overflowPunct w:val="0"/>
        <w:spacing w:line="600" w:lineRule="exact"/>
        <w:ind w:firstLine="640" w:firstLineChars="200"/>
        <w:rPr>
          <w:rFonts w:eastAsia="方正仿宋_GBK"/>
          <w:sz w:val="32"/>
        </w:rPr>
      </w:pPr>
      <w:r>
        <w:rPr>
          <w:rFonts w:hint="eastAsia" w:eastAsia="方正仿宋_GBK"/>
          <w:sz w:val="32"/>
        </w:rPr>
        <w:t>4.维护受教育者、教师及其他职工的合法权益。</w:t>
      </w:r>
    </w:p>
    <w:p>
      <w:pPr>
        <w:overflowPunct w:val="0"/>
        <w:spacing w:line="600" w:lineRule="exact"/>
        <w:ind w:firstLine="640" w:firstLineChars="200"/>
        <w:rPr>
          <w:rFonts w:eastAsia="方正仿宋_GBK"/>
          <w:sz w:val="32"/>
        </w:rPr>
      </w:pPr>
      <w:r>
        <w:rPr>
          <w:rFonts w:hint="eastAsia" w:eastAsia="方正仿宋_GBK"/>
          <w:sz w:val="32"/>
        </w:rPr>
        <w:t>5.根据学校规模，设置学校管理机构，建立健全各项规章制度和岗位责任制。</w:t>
      </w:r>
    </w:p>
    <w:p>
      <w:pPr>
        <w:overflowPunct w:val="0"/>
        <w:spacing w:line="600" w:lineRule="exact"/>
        <w:ind w:firstLine="640" w:firstLineChars="200"/>
        <w:rPr>
          <w:rFonts w:eastAsia="方正仿宋_GBK"/>
          <w:sz w:val="32"/>
        </w:rPr>
      </w:pPr>
      <w:r>
        <w:rPr>
          <w:rFonts w:hint="eastAsia" w:eastAsia="方正仿宋_GBK"/>
          <w:sz w:val="32"/>
        </w:rPr>
        <w:t>6.做好学校安全稳定工作和后勤保障服务工作。</w:t>
      </w:r>
    </w:p>
    <w:p>
      <w:pPr>
        <w:overflowPunct w:val="0"/>
        <w:spacing w:line="600" w:lineRule="exact"/>
        <w:ind w:firstLine="640" w:firstLineChars="200"/>
        <w:rPr>
          <w:rFonts w:eastAsia="方正仿宋_GBK"/>
          <w:sz w:val="32"/>
        </w:rPr>
      </w:pPr>
      <w:r>
        <w:rPr>
          <w:rFonts w:hint="eastAsia" w:ascii="方正楷体_GBK" w:hAnsi="Times New Roman" w:eastAsia="方正楷体_GBK"/>
          <w:sz w:val="32"/>
        </w:rPr>
        <w:t>（二）单位构成</w:t>
      </w:r>
    </w:p>
    <w:p>
      <w:pPr>
        <w:pStyle w:val="13"/>
        <w:tabs>
          <w:tab w:val="center" w:pos="4153"/>
          <w:tab w:val="left" w:pos="7275"/>
        </w:tabs>
        <w:overflowPunct w:val="0"/>
        <w:spacing w:line="600" w:lineRule="exact"/>
        <w:ind w:left="640" w:firstLine="320" w:firstLineChars="100"/>
        <w:rPr>
          <w:rFonts w:ascii="方正楷体_GBK" w:hAnsi="Times New Roman" w:eastAsia="方正楷体_GBK"/>
          <w:sz w:val="32"/>
        </w:rPr>
      </w:pPr>
      <w:r>
        <w:rPr>
          <w:rFonts w:hint="eastAsia" w:ascii="方正楷体_GBK" w:hAnsi="Times New Roman" w:eastAsia="方正楷体_GBK"/>
          <w:sz w:val="32"/>
        </w:rPr>
        <w:t>重庆市开州区汉丰第九小学内设6个机构处室，分别是党政办、教务处、总务处、政教处、安稳办、少先队大队部。</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ascii="方正仿宋_GBK" w:eastAsia="方正仿宋_GBK"/>
          <w:sz w:val="32"/>
        </w:rPr>
      </w:pPr>
      <w:r>
        <w:rPr>
          <w:rFonts w:hint="eastAsia" w:ascii="方正楷体_GBK" w:eastAsia="方正楷体_GBK"/>
          <w:sz w:val="32"/>
        </w:rPr>
        <w:t>（一）收入预算：</w:t>
      </w:r>
      <w:r>
        <w:rPr>
          <w:rFonts w:hint="eastAsia" w:eastAsia="方正仿宋_GBK"/>
          <w:sz w:val="32"/>
        </w:rPr>
        <w:t>2024年年初预算数3232.34万元（含上年结转64.20万元），</w:t>
      </w:r>
      <w:r>
        <w:rPr>
          <w:rFonts w:eastAsia="方正仿宋_GBK"/>
          <w:sz w:val="32"/>
        </w:rPr>
        <w:t>其中：一般公共预算拨款</w:t>
      </w:r>
      <w:r>
        <w:rPr>
          <w:rFonts w:hint="eastAsia" w:eastAsia="方正仿宋_GBK"/>
          <w:sz w:val="32"/>
        </w:rPr>
        <w:t>3232.34万元（含上年结转64.20万元）</w:t>
      </w:r>
      <w:r>
        <w:rPr>
          <w:rFonts w:eastAsia="方正仿宋_GBK"/>
          <w:sz w:val="32"/>
        </w:rPr>
        <w:t>，收入较2023年增加</w:t>
      </w:r>
      <w:r>
        <w:rPr>
          <w:rFonts w:hint="eastAsia" w:eastAsia="方正仿宋_GBK"/>
          <w:sz w:val="32"/>
        </w:rPr>
        <w:t>143</w:t>
      </w:r>
      <w:r>
        <w:rPr>
          <w:rFonts w:eastAsia="方正仿宋_GBK"/>
          <w:sz w:val="32"/>
        </w:rPr>
        <w:t>万元，主要是一般公共预算拨款</w:t>
      </w:r>
      <w:r>
        <w:rPr>
          <w:rFonts w:hint="eastAsia" w:ascii="方正仿宋_GBK" w:eastAsia="方正仿宋_GBK"/>
          <w:sz w:val="32"/>
        </w:rPr>
        <w:t>增加</w:t>
      </w:r>
      <w:r>
        <w:rPr>
          <w:rFonts w:hint="eastAsia" w:eastAsia="方正仿宋_GBK"/>
          <w:sz w:val="32"/>
        </w:rPr>
        <w:t>143</w:t>
      </w:r>
      <w:r>
        <w:rPr>
          <w:rFonts w:eastAsia="方正仿宋_GBK"/>
          <w:sz w:val="32"/>
        </w:rPr>
        <w:t>万元</w:t>
      </w:r>
      <w:r>
        <w:rPr>
          <w:rFonts w:hint="eastAsia" w:ascii="方正仿宋_GBK" w:eastAsia="方正仿宋_GBK"/>
          <w:sz w:val="32"/>
        </w:rPr>
        <w:t>。</w:t>
      </w:r>
    </w:p>
    <w:p>
      <w:pPr>
        <w:overflowPunct w:val="0"/>
        <w:spacing w:line="600" w:lineRule="exact"/>
        <w:ind w:firstLine="640" w:firstLineChars="200"/>
        <w:rPr>
          <w:rFonts w:eastAsia="方正仿宋_GBK"/>
          <w:b/>
          <w:sz w:val="32"/>
        </w:rPr>
      </w:pPr>
      <w:r>
        <w:rPr>
          <w:rFonts w:hint="eastAsia" w:ascii="方正楷体_GBK" w:eastAsia="方正楷体_GBK"/>
          <w:sz w:val="32"/>
        </w:rPr>
        <w:t>（二）支出预算：</w:t>
      </w:r>
      <w:r>
        <w:rPr>
          <w:rFonts w:eastAsia="方正仿宋_GBK"/>
          <w:sz w:val="32"/>
        </w:rPr>
        <w:t>2024年年初预算数</w:t>
      </w:r>
      <w:r>
        <w:rPr>
          <w:rFonts w:hint="eastAsia" w:eastAsia="方正仿宋_GBK"/>
          <w:sz w:val="32"/>
        </w:rPr>
        <w:t>3232.34</w:t>
      </w:r>
      <w:r>
        <w:rPr>
          <w:rFonts w:eastAsia="方正仿宋_GBK"/>
          <w:sz w:val="32"/>
        </w:rPr>
        <w:t>万元，其中：教育支出预算</w:t>
      </w:r>
      <w:r>
        <w:rPr>
          <w:rFonts w:hint="eastAsia" w:eastAsia="方正仿宋_GBK"/>
          <w:sz w:val="32"/>
        </w:rPr>
        <w:t>2549.56</w:t>
      </w:r>
      <w:r>
        <w:rPr>
          <w:rFonts w:eastAsia="方正仿宋_GBK"/>
          <w:sz w:val="32"/>
        </w:rPr>
        <w:t>万元，社会保障和就业支出预算</w:t>
      </w:r>
      <w:r>
        <w:rPr>
          <w:rFonts w:hint="eastAsia" w:eastAsia="方正仿宋_GBK"/>
          <w:sz w:val="32"/>
        </w:rPr>
        <w:t>345.21</w:t>
      </w:r>
      <w:r>
        <w:rPr>
          <w:rFonts w:eastAsia="方正仿宋_GBK"/>
          <w:sz w:val="32"/>
        </w:rPr>
        <w:t>万元，卫生健康支出预算</w:t>
      </w:r>
      <w:r>
        <w:rPr>
          <w:rFonts w:hint="eastAsia" w:eastAsia="方正仿宋_GBK"/>
          <w:sz w:val="32"/>
        </w:rPr>
        <w:t>169.56</w:t>
      </w:r>
      <w:r>
        <w:rPr>
          <w:rFonts w:eastAsia="方正仿宋_GBK"/>
          <w:sz w:val="32"/>
        </w:rPr>
        <w:t>万元，住房保障支出预算</w:t>
      </w:r>
      <w:r>
        <w:rPr>
          <w:rFonts w:hint="eastAsia" w:eastAsia="方正仿宋_GBK"/>
          <w:sz w:val="32"/>
        </w:rPr>
        <w:t>168.01</w:t>
      </w:r>
      <w:r>
        <w:rPr>
          <w:rFonts w:eastAsia="方正仿宋_GBK"/>
          <w:sz w:val="32"/>
        </w:rPr>
        <w:t>万元。支出预算较</w:t>
      </w:r>
      <w:r>
        <w:rPr>
          <w:rFonts w:hint="eastAsia" w:eastAsia="方正仿宋_GBK"/>
          <w:sz w:val="32"/>
        </w:rPr>
        <w:t>202</w:t>
      </w:r>
      <w:r>
        <w:rPr>
          <w:rFonts w:eastAsia="方正仿宋_GBK"/>
          <w:sz w:val="32"/>
        </w:rPr>
        <w:t>3年增加</w:t>
      </w:r>
      <w:r>
        <w:rPr>
          <w:rFonts w:hint="eastAsia" w:eastAsia="方正仿宋_GBK"/>
          <w:sz w:val="32"/>
        </w:rPr>
        <w:t>143</w:t>
      </w:r>
      <w:r>
        <w:rPr>
          <w:rFonts w:eastAsia="方正仿宋_GBK"/>
          <w:sz w:val="32"/>
        </w:rPr>
        <w:t>万元，主要是基本支出预算增加</w:t>
      </w:r>
      <w:r>
        <w:rPr>
          <w:rFonts w:hint="eastAsia" w:eastAsia="方正仿宋_GBK"/>
          <w:sz w:val="32"/>
        </w:rPr>
        <w:t>150.88</w:t>
      </w:r>
      <w:r>
        <w:rPr>
          <w:rFonts w:eastAsia="方正仿宋_GBK"/>
          <w:sz w:val="32"/>
        </w:rPr>
        <w:t>万元，项目支出预算</w:t>
      </w:r>
      <w:r>
        <w:rPr>
          <w:rFonts w:hint="eastAsia" w:eastAsia="方正仿宋_GBK"/>
          <w:sz w:val="32"/>
        </w:rPr>
        <w:t>减少7.88万元</w:t>
      </w:r>
      <w:r>
        <w:rPr>
          <w:rFonts w:eastAsia="方正仿宋_GBK"/>
          <w:sz w:val="32"/>
        </w:rPr>
        <w:t>。</w:t>
      </w:r>
    </w:p>
    <w:p>
      <w:pPr>
        <w:overflowPunct w:val="0"/>
        <w:spacing w:line="600" w:lineRule="exact"/>
        <w:ind w:left="640"/>
        <w:rPr>
          <w:rFonts w:eastAsia="方正黑体_GBK"/>
          <w:b/>
          <w:sz w:val="32"/>
        </w:rPr>
      </w:pPr>
      <w:r>
        <w:rPr>
          <w:rFonts w:eastAsia="方正黑体_GBK"/>
          <w:sz w:val="32"/>
        </w:rPr>
        <w:t>三、部门预算情况说明</w:t>
      </w:r>
    </w:p>
    <w:p>
      <w:pPr>
        <w:overflowPunct w:val="0"/>
        <w:spacing w:line="600" w:lineRule="exact"/>
        <w:ind w:firstLine="640" w:firstLineChars="200"/>
        <w:rPr>
          <w:rFonts w:ascii="方正仿宋_GBK" w:eastAsia="方正仿宋_GBK"/>
          <w:sz w:val="32"/>
        </w:rPr>
      </w:pPr>
      <w:r>
        <w:rPr>
          <w:rFonts w:eastAsia="方正仿宋_GBK"/>
          <w:sz w:val="32"/>
        </w:rPr>
        <w:t>2024年一般公共预算财政拨款收入</w:t>
      </w:r>
      <w:r>
        <w:rPr>
          <w:rFonts w:hint="eastAsia" w:eastAsia="方正仿宋_GBK"/>
          <w:sz w:val="32"/>
        </w:rPr>
        <w:t>3232.34</w:t>
      </w:r>
      <w:r>
        <w:rPr>
          <w:rFonts w:eastAsia="方正仿宋_GBK"/>
          <w:sz w:val="32"/>
        </w:rPr>
        <w:t>万元</w:t>
      </w:r>
      <w:r>
        <w:rPr>
          <w:rFonts w:hint="eastAsia" w:eastAsia="方正仿宋_GBK"/>
          <w:sz w:val="32"/>
        </w:rPr>
        <w:t>（含上年项目资金结转64.20万元）</w:t>
      </w:r>
      <w:r>
        <w:rPr>
          <w:rFonts w:eastAsia="方正仿宋_GBK"/>
          <w:sz w:val="32"/>
        </w:rPr>
        <w:t>，一般公共预算财政拨款支出</w:t>
      </w:r>
      <w:r>
        <w:rPr>
          <w:rFonts w:hint="eastAsia" w:eastAsia="方正仿宋_GBK"/>
          <w:sz w:val="32"/>
        </w:rPr>
        <w:t>3232.34</w:t>
      </w:r>
      <w:r>
        <w:rPr>
          <w:rFonts w:eastAsia="方正仿宋_GBK"/>
          <w:sz w:val="32"/>
        </w:rPr>
        <w:t>万元，比2023年增加</w:t>
      </w:r>
      <w:r>
        <w:rPr>
          <w:rFonts w:hint="eastAsia" w:eastAsia="方正仿宋_GBK"/>
          <w:sz w:val="32"/>
        </w:rPr>
        <w:t>143</w:t>
      </w:r>
      <w:r>
        <w:rPr>
          <w:rFonts w:eastAsia="方正仿宋_GBK"/>
          <w:sz w:val="32"/>
        </w:rPr>
        <w:t>万元。其中：基本支出</w:t>
      </w:r>
      <w:r>
        <w:rPr>
          <w:rFonts w:hint="eastAsia" w:eastAsia="方正仿宋_GBK"/>
          <w:sz w:val="32"/>
        </w:rPr>
        <w:t>3089.86</w:t>
      </w:r>
      <w:r>
        <w:rPr>
          <w:rFonts w:eastAsia="方正仿宋_GBK"/>
          <w:sz w:val="32"/>
        </w:rPr>
        <w:t>万元，比2023年增加</w:t>
      </w:r>
      <w:r>
        <w:rPr>
          <w:rFonts w:hint="eastAsia" w:eastAsia="方正仿宋_GBK"/>
          <w:sz w:val="32"/>
        </w:rPr>
        <w:t>150.88</w:t>
      </w:r>
      <w:r>
        <w:rPr>
          <w:rFonts w:eastAsia="方正仿宋_GBK"/>
          <w:sz w:val="32"/>
        </w:rPr>
        <w:t>万元，主要原因是</w:t>
      </w:r>
      <w:r>
        <w:rPr>
          <w:rFonts w:hint="eastAsia" w:ascii="方正仿宋_GBK" w:eastAsia="方正仿宋_GBK"/>
          <w:sz w:val="32"/>
        </w:rPr>
        <w:t>工资类拨款、社保类拨款增加</w:t>
      </w:r>
      <w:r>
        <w:rPr>
          <w:rFonts w:hint="eastAsia" w:eastAsia="方正仿宋_GBK"/>
          <w:sz w:val="32"/>
        </w:rPr>
        <w:t>，主要用于保障在职人员工资福利及社会保险缴费，离休人员离休费，退休人员补助等等；</w:t>
      </w:r>
      <w:r>
        <w:rPr>
          <w:rFonts w:eastAsia="方正仿宋_GBK"/>
          <w:sz w:val="32"/>
        </w:rPr>
        <w:t>项目支出</w:t>
      </w:r>
      <w:r>
        <w:rPr>
          <w:rFonts w:hint="eastAsia" w:eastAsia="方正仿宋_GBK"/>
          <w:sz w:val="32"/>
        </w:rPr>
        <w:t>142.48</w:t>
      </w:r>
      <w:r>
        <w:rPr>
          <w:rFonts w:eastAsia="方正仿宋_GBK"/>
          <w:sz w:val="32"/>
        </w:rPr>
        <w:t>万元，比2023年</w:t>
      </w:r>
      <w:r>
        <w:rPr>
          <w:rFonts w:hint="eastAsia" w:eastAsia="方正仿宋_GBK"/>
          <w:sz w:val="32"/>
        </w:rPr>
        <w:t>减少7.88</w:t>
      </w:r>
      <w:r>
        <w:rPr>
          <w:rFonts w:eastAsia="方正仿宋_GBK"/>
          <w:sz w:val="32"/>
        </w:rPr>
        <w:t>万元，主要原因是</w:t>
      </w:r>
      <w:r>
        <w:rPr>
          <w:rFonts w:hint="eastAsia" w:ascii="方正仿宋_GBK" w:eastAsia="方正仿宋_GBK"/>
          <w:sz w:val="32"/>
        </w:rPr>
        <w:t>2023年项目完成。</w:t>
      </w:r>
    </w:p>
    <w:p>
      <w:pPr>
        <w:overflowPunct w:val="0"/>
        <w:spacing w:line="600" w:lineRule="exact"/>
        <w:ind w:firstLine="640" w:firstLineChars="200"/>
        <w:rPr>
          <w:rFonts w:eastAsia="方正仿宋_GBK"/>
          <w:sz w:val="32"/>
        </w:rPr>
      </w:pPr>
      <w:r>
        <w:rPr>
          <w:rFonts w:eastAsia="方正仿宋_GBK"/>
          <w:sz w:val="32"/>
        </w:rPr>
        <w:t>重庆市开州区</w:t>
      </w:r>
      <w:r>
        <w:rPr>
          <w:rFonts w:hint="eastAsia" w:eastAsia="方正仿宋_GBK"/>
          <w:sz w:val="32"/>
        </w:rPr>
        <w:t>汉丰第九小学</w:t>
      </w:r>
      <w:r>
        <w:rPr>
          <w:rFonts w:eastAsia="方正仿宋_GBK"/>
          <w:sz w:val="32"/>
        </w:rPr>
        <w:t>202</w:t>
      </w:r>
      <w:r>
        <w:rPr>
          <w:rFonts w:hint="eastAsia" w:eastAsia="方正仿宋_GBK"/>
          <w:sz w:val="32"/>
        </w:rPr>
        <w:t>4</w:t>
      </w:r>
      <w:r>
        <w:rPr>
          <w:rFonts w:eastAsia="方正仿宋_GBK"/>
          <w:sz w:val="32"/>
        </w:rPr>
        <w:t>年无使用政府性基金预算拨款安排的支出</w:t>
      </w:r>
      <w:r>
        <w:rPr>
          <w:rFonts w:hint="eastAsia" w:ascii="方正仿宋_GBK" w:eastAsia="方正仿宋_GBK"/>
          <w:sz w:val="32"/>
        </w:rPr>
        <w:t>。</w:t>
      </w:r>
    </w:p>
    <w:p>
      <w:pPr>
        <w:overflowPunct w:val="0"/>
        <w:spacing w:line="600" w:lineRule="exact"/>
        <w:ind w:left="640"/>
        <w:rPr>
          <w:rFonts w:eastAsia="方正仿宋_GBK"/>
          <w:sz w:val="32"/>
        </w:rPr>
      </w:pPr>
      <w:r>
        <w:rPr>
          <w:rFonts w:eastAsia="方正黑体_GBK"/>
          <w:sz w:val="32"/>
        </w:rPr>
        <w:t>四、“</w:t>
      </w:r>
      <w:r>
        <w:rPr>
          <w:rFonts w:hint="eastAsia" w:eastAsia="方正黑体_GBK"/>
          <w:sz w:val="32"/>
        </w:rPr>
        <w:t>三公</w:t>
      </w:r>
      <w:r>
        <w:rPr>
          <w:rFonts w:eastAsia="方正黑体_GBK"/>
          <w:sz w:val="32"/>
        </w:rPr>
        <w:t>”</w:t>
      </w:r>
      <w:r>
        <w:rPr>
          <w:rFonts w:hint="eastAsia" w:eastAsia="方正黑体_GBK"/>
          <w:sz w:val="32"/>
        </w:rPr>
        <w:t>经</w:t>
      </w:r>
      <w:r>
        <w:rPr>
          <w:rFonts w:eastAsia="方正黑体_GBK"/>
          <w:sz w:val="32"/>
        </w:rPr>
        <w:t>费情况说明</w:t>
      </w:r>
    </w:p>
    <w:p>
      <w:pPr>
        <w:spacing w:line="600" w:lineRule="exact"/>
        <w:ind w:firstLine="600"/>
        <w:rPr>
          <w:rFonts w:ascii="方正仿宋_GBK" w:hAnsi="仿宋_GB2312" w:eastAsia="方正仿宋_GBK" w:cs="仿宋_GB2312"/>
          <w:sz w:val="32"/>
        </w:rPr>
      </w:pPr>
      <w:r>
        <w:rPr>
          <w:rFonts w:eastAsia="方正仿宋_GBK"/>
          <w:sz w:val="32"/>
        </w:rPr>
        <w:t>重庆市开州区</w:t>
      </w:r>
      <w:r>
        <w:rPr>
          <w:rFonts w:hint="eastAsia" w:eastAsia="方正仿宋_GBK"/>
          <w:sz w:val="32"/>
        </w:rPr>
        <w:t>汉丰第九小学</w:t>
      </w:r>
      <w:r>
        <w:rPr>
          <w:rFonts w:hint="eastAsia" w:ascii="方正仿宋_GBK" w:hAnsi="仿宋_GB2312" w:eastAsia="方正仿宋_GBK" w:cs="仿宋_GB2312"/>
          <w:sz w:val="32"/>
        </w:rPr>
        <w:t>2024年未安排“三公”经费预算。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w:t>
      </w:r>
      <w:r>
        <w:rPr>
          <w:rFonts w:eastAsia="方正仿宋_GBK"/>
          <w:sz w:val="32"/>
        </w:rPr>
        <w:t>我单位不在机关运行经费统计范围之内。</w:t>
      </w:r>
    </w:p>
    <w:p>
      <w:pPr>
        <w:overflowPunct w:val="0"/>
        <w:spacing w:line="600" w:lineRule="exact"/>
        <w:ind w:firstLine="643" w:firstLineChars="200"/>
        <w:rPr>
          <w:rFonts w:eastAsia="方正仿宋_GBK"/>
          <w:sz w:val="32"/>
        </w:rPr>
      </w:pPr>
      <w:r>
        <w:rPr>
          <w:rFonts w:eastAsia="方正仿宋_GBK"/>
          <w:b/>
          <w:sz w:val="32"/>
        </w:rPr>
        <w:t>2</w:t>
      </w:r>
      <w:r>
        <w:rPr>
          <w:rFonts w:hint="eastAsia" w:eastAsia="方正仿宋_GBK"/>
          <w:b/>
          <w:sz w:val="32"/>
        </w:rPr>
        <w:t>．</w:t>
      </w:r>
      <w:r>
        <w:rPr>
          <w:rFonts w:eastAsia="方正仿宋_GBK"/>
          <w:b/>
          <w:sz w:val="32"/>
        </w:rPr>
        <w:t>政府采购情况。</w:t>
      </w:r>
      <w:r>
        <w:rPr>
          <w:rFonts w:hint="eastAsia" w:eastAsia="方正仿宋_GBK"/>
          <w:sz w:val="32"/>
        </w:rPr>
        <w:t>本单位政府采购预算总额39.32万元：政府采购货物预算39.32万元；其中一般公共预算拨款政府采购39.32万元：政府采购货物预算39.32万元。</w:t>
      </w:r>
    </w:p>
    <w:p>
      <w:pPr>
        <w:overflowPunct w:val="0"/>
        <w:spacing w:line="600" w:lineRule="exact"/>
        <w:ind w:firstLine="643" w:firstLineChars="200"/>
        <w:rPr>
          <w:rFonts w:eastAsia="方正仿宋_GBK"/>
          <w:color w:val="000000"/>
          <w:sz w:val="32"/>
        </w:rPr>
      </w:pPr>
      <w:r>
        <w:rPr>
          <w:rFonts w:eastAsia="方正仿宋_GBK"/>
          <w:b/>
          <w:sz w:val="32"/>
        </w:rPr>
        <w:t>3</w:t>
      </w:r>
      <w:r>
        <w:rPr>
          <w:rFonts w:hint="eastAsia" w:eastAsia="方正仿宋_GBK"/>
          <w:b/>
          <w:sz w:val="32"/>
        </w:rPr>
        <w:t>．</w:t>
      </w:r>
      <w:r>
        <w:rPr>
          <w:rFonts w:eastAsia="方正仿宋_GBK"/>
          <w:b/>
          <w:sz w:val="32"/>
        </w:rPr>
        <w:t>绩效目标设置情况。</w:t>
      </w:r>
      <w:r>
        <w:rPr>
          <w:rFonts w:eastAsia="方正仿宋_GBK"/>
          <w:color w:val="000000"/>
          <w:sz w:val="32"/>
        </w:rPr>
        <w:t>2024年项目支出均实行了绩效目标管理，涉及一般公共预算当年财政拨款</w:t>
      </w:r>
      <w:r>
        <w:rPr>
          <w:rFonts w:hint="eastAsia" w:eastAsia="方正仿宋_GBK"/>
          <w:color w:val="000000"/>
          <w:sz w:val="32"/>
        </w:rPr>
        <w:t>78.28</w:t>
      </w:r>
      <w:r>
        <w:rPr>
          <w:rFonts w:eastAsia="方正仿宋_GBK"/>
          <w:color w:val="000000"/>
          <w:sz w:val="32"/>
        </w:rPr>
        <w:t>万元。</w:t>
      </w:r>
    </w:p>
    <w:p>
      <w:pPr>
        <w:overflowPunct w:val="0"/>
        <w:spacing w:line="600" w:lineRule="exact"/>
        <w:ind w:firstLine="643" w:firstLineChars="200"/>
        <w:rPr>
          <w:rFonts w:eastAsia="方正仿宋_GBK"/>
          <w:color w:val="000000"/>
          <w:sz w:val="32"/>
        </w:rPr>
      </w:pPr>
      <w:r>
        <w:rPr>
          <w:rFonts w:eastAsia="方正仿宋_GBK"/>
          <w:b/>
          <w:color w:val="000000"/>
          <w:sz w:val="32"/>
        </w:rPr>
        <w:t>4</w:t>
      </w:r>
      <w:r>
        <w:rPr>
          <w:rFonts w:hint="eastAsia" w:eastAsia="方正仿宋_GBK"/>
          <w:b/>
          <w:color w:val="000000"/>
          <w:sz w:val="32"/>
        </w:rPr>
        <w:t>．</w:t>
      </w:r>
      <w:r>
        <w:rPr>
          <w:rFonts w:eastAsia="方正仿宋_GBK"/>
          <w:b/>
          <w:color w:val="000000"/>
          <w:sz w:val="32"/>
        </w:rPr>
        <w:t>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w:t>
      </w:r>
      <w:r>
        <w:rPr>
          <w:rFonts w:hint="eastAsia" w:eastAsia="方正仿宋_GBK"/>
          <w:color w:val="000000"/>
          <w:sz w:val="32"/>
        </w:rPr>
        <w:t>0</w:t>
      </w:r>
      <w:r>
        <w:rPr>
          <w:rFonts w:eastAsia="方正仿宋_GBK"/>
          <w:color w:val="000000"/>
          <w:sz w:val="32"/>
        </w:rPr>
        <w:t xml:space="preserve"> 辆，其中一般公务用车 </w:t>
      </w:r>
      <w:r>
        <w:rPr>
          <w:rFonts w:hint="eastAsia" w:eastAsia="方正仿宋_GBK"/>
          <w:color w:val="000000"/>
          <w:sz w:val="32"/>
        </w:rPr>
        <w:t>0</w:t>
      </w:r>
      <w:r>
        <w:rPr>
          <w:rFonts w:eastAsia="方正仿宋_GBK"/>
          <w:color w:val="000000"/>
          <w:sz w:val="32"/>
        </w:rPr>
        <w:t xml:space="preserve">辆、执勤执法用车 </w:t>
      </w:r>
      <w:r>
        <w:rPr>
          <w:rFonts w:hint="eastAsia" w:eastAsia="方正仿宋_GBK"/>
          <w:color w:val="000000"/>
          <w:sz w:val="32"/>
        </w:rPr>
        <w:t>0</w:t>
      </w:r>
      <w:r>
        <w:rPr>
          <w:rFonts w:eastAsia="方正仿宋_GBK"/>
          <w:color w:val="000000"/>
          <w:sz w:val="32"/>
        </w:rPr>
        <w:t xml:space="preserve">辆。2024年一般公共预算安排购置车辆 </w:t>
      </w:r>
      <w:r>
        <w:rPr>
          <w:rFonts w:hint="eastAsia" w:eastAsia="方正仿宋_GBK"/>
          <w:color w:val="000000"/>
          <w:sz w:val="32"/>
        </w:rPr>
        <w:t>0</w:t>
      </w:r>
      <w:r>
        <w:rPr>
          <w:rFonts w:eastAsia="方正仿宋_GBK"/>
          <w:color w:val="000000"/>
          <w:sz w:val="32"/>
        </w:rPr>
        <w:t>辆，其中一般公务用车 辆、执勤执法用车</w:t>
      </w:r>
      <w:r>
        <w:rPr>
          <w:rFonts w:hint="eastAsia" w:eastAsia="方正仿宋_GBK"/>
          <w:color w:val="000000"/>
          <w:sz w:val="32"/>
        </w:rPr>
        <w:t>0</w:t>
      </w:r>
      <w:r>
        <w:rPr>
          <w:rFonts w:eastAsia="方正仿宋_GBK"/>
          <w:color w:val="000000"/>
          <w:sz w:val="32"/>
        </w:rPr>
        <w:t xml:space="preserve"> 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3"/>
        <w:tabs>
          <w:tab w:val="center" w:pos="4153"/>
          <w:tab w:val="left" w:pos="7275"/>
        </w:tabs>
        <w:overflowPunct w:val="0"/>
        <w:spacing w:line="600" w:lineRule="exact"/>
        <w:ind w:firstLine="640"/>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小标宋_GBK"/>
          <w:sz w:val="44"/>
          <w:szCs w:val="44"/>
        </w:rPr>
      </w:pPr>
      <w:r>
        <w:rPr>
          <w:rFonts w:hint="eastAsia" w:ascii="方正楷体_GBK" w:hAnsi="Times New Roman"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880" w:firstLineChars="200"/>
        <w:rPr>
          <w:rFonts w:eastAsia="方正小标宋_GBK"/>
          <w:sz w:val="44"/>
          <w:szCs w:val="44"/>
        </w:rPr>
      </w:pPr>
      <w:r>
        <w:rPr>
          <w:rFonts w:eastAsia="方正小标宋_GBK"/>
          <w:sz w:val="44"/>
          <w:szCs w:val="44"/>
        </w:rPr>
        <w:br w:type="page"/>
      </w:r>
      <w:r>
        <w:rPr>
          <w:rFonts w:hint="eastAsia"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hint="eastAsia" w:eastAsia="方正黑体_GBK"/>
          <w:sz w:val="32"/>
        </w:rPr>
        <w:t>2024年部门预算公开报表（详见附表重庆市开州区汉丰第九小学</w:t>
      </w:r>
      <w:r>
        <w:rPr>
          <w:rFonts w:eastAsia="方正黑体_GBK"/>
          <w:sz w:val="32"/>
        </w:rPr>
        <w:t>2024年部门预算公开报表</w:t>
      </w:r>
      <w:r>
        <w:rPr>
          <w:rFonts w:hint="eastAsia" w:eastAsia="方正黑体_GBK"/>
          <w:sz w:val="32"/>
        </w:rPr>
        <w:t>）</w:t>
      </w:r>
    </w:p>
    <w:p>
      <w:pPr>
        <w:spacing w:line="540" w:lineRule="exact"/>
        <w:jc w:val="center"/>
        <w:rPr>
          <w:rFonts w:eastAsia="方正小标宋_GBK"/>
          <w:sz w:val="28"/>
          <w:szCs w:val="28"/>
        </w:rPr>
      </w:pPr>
    </w:p>
    <w:p>
      <w:pPr>
        <w:spacing w:line="54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部门预算公开联系人：邱厚情        联系方式：023-52218035</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44"/>
          <w:szCs w:val="44"/>
        </w:rPr>
      </w:pPr>
      <w:r>
        <w:rPr>
          <w:rFonts w:hint="eastAsia" w:eastAsia="方正仿宋_GBK"/>
          <w:kern w:val="0"/>
          <w:sz w:val="28"/>
          <w:szCs w:val="28"/>
        </w:rPr>
        <w:t xml:space="preserve">                            </w:t>
      </w:r>
      <w:r>
        <w:rPr>
          <w:rFonts w:eastAsia="方正仿宋_GBK"/>
          <w:kern w:val="0"/>
          <w:sz w:val="28"/>
          <w:szCs w:val="28"/>
        </w:rPr>
        <w:t>重庆市开州区</w:t>
      </w:r>
      <w:r>
        <w:rPr>
          <w:rFonts w:hint="eastAsia" w:eastAsia="方正仿宋_GBK"/>
          <w:kern w:val="0"/>
          <w:sz w:val="28"/>
          <w:szCs w:val="28"/>
        </w:rPr>
        <w:t>汉丰第九小学</w:t>
      </w:r>
    </w:p>
    <w:p>
      <w:pPr>
        <w:spacing w:line="540" w:lineRule="exact"/>
        <w:jc w:val="center"/>
        <w:rPr>
          <w:rFonts w:eastAsia="方正小标宋_GBK"/>
          <w:sz w:val="44"/>
          <w:szCs w:val="44"/>
        </w:rPr>
      </w:pPr>
      <w:r>
        <w:rPr>
          <w:rFonts w:hint="eastAsia" w:eastAsia="方正仿宋_GBK"/>
          <w:kern w:val="0"/>
          <w:sz w:val="28"/>
          <w:szCs w:val="28"/>
        </w:rPr>
        <w:t xml:space="preserve">                             </w:t>
      </w:r>
      <w:r>
        <w:rPr>
          <w:rFonts w:eastAsia="方正仿宋_GBK"/>
          <w:kern w:val="0"/>
          <w:sz w:val="28"/>
          <w:szCs w:val="28"/>
        </w:rPr>
        <w:t>2024年</w:t>
      </w:r>
      <w:r>
        <w:rPr>
          <w:rFonts w:hint="eastAsia" w:eastAsia="方正仿宋_GBK"/>
          <w:kern w:val="0"/>
          <w:sz w:val="28"/>
          <w:szCs w:val="28"/>
        </w:rPr>
        <w:t>3月21日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jc w:val="center"/>
        <w:rPr>
          <w:rFonts w:eastAsia="方正小标宋_GBK"/>
          <w:sz w:val="44"/>
          <w:szCs w:val="44"/>
        </w:rPr>
      </w:pPr>
    </w:p>
    <w:p>
      <w:pPr>
        <w:tabs>
          <w:tab w:val="left" w:pos="8690"/>
        </w:tabs>
        <w:spacing w:line="600" w:lineRule="exact"/>
        <w:ind w:firstLine="280" w:firstLineChars="100"/>
        <w:jc w:val="left"/>
        <w:rPr>
          <w:rFonts w:ascii="方正小标宋_GBK" w:hAnsi="方正小标宋_GBK" w:eastAsia="方正仿宋_GBK" w:cs="方正小标宋_GBK"/>
          <w:bCs/>
          <w:sz w:val="36"/>
          <w:szCs w:val="36"/>
        </w:rPr>
      </w:pPr>
      <w:r>
        <w:rPr>
          <w:rFonts w:ascii="Times New Roman" w:hAnsi="Times New Roman" w:eastAsia="方正仿宋_GBK"/>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396240</wp:posOffset>
                </wp:positionV>
                <wp:extent cx="557974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pt;margin-top:31.2pt;height:0pt;width:439.35pt;z-index:251661312;mso-width-relative:page;mso-height-relative:page;" filled="f" stroked="t" coordsize="21600,21600" o:gfxdata="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mbP&#10;VtUAAAAHAQAADwAAAAAAAAABACAAAAAiAAAAZHJzL2Rvd25yZXYueG1sUEsBAhQAFAAAAAgAh07i&#10;QKxt/AXsAQAA2AMAAA4AAAAAAAAAAQAgAAAAJA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仿宋_GBK"/>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28575</wp:posOffset>
                </wp:positionV>
                <wp:extent cx="5579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5pt;margin-top:2.25pt;height:0pt;width:439.35pt;z-index:251660288;mso-width-relative:page;mso-height-relative:page;" filled="f" stroked="t" coordsize="21600,21600" o:gfxdata="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SZPAmQNLF3735eft&#10;52+/f32l9e7HdzbJIvUBa4q9dKt42GFYxcx410ab/8SF7Yqw+6OwapeYIOdsdnZ+9nLGmXg4qx4T&#10;Q8T0VnnLstFwo13mDDVs32GiYhT6EJLdxrG+4eezaYYDGsCWLp5MG4gEuk3JRW+0vNLG5AyMm/Wl&#10;iWwLeQjKlykR7l9hucgSsBviytEwHp0C+cZJlvaB5HH0KnhuwSrJmVH0iLJFgFAn0OaUSCptHHWQ&#10;VR10zNbay32Rt/jpwkuPh+HME/XnvmQ/PsjF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xP1dPT&#10;AAAABQEAAA8AAAAAAAAAAQAgAAAAIgAAAGRycy9kb3ducmV2LnhtbFBLAQIUABQAAAAIAIdO4kDy&#10;rXiZ7AEAANgDAAAOAAAAAAAAAAEAIAAAACI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_GBK"/>
          <w:color w:val="000000"/>
          <w:sz w:val="28"/>
          <w:szCs w:val="28"/>
        </w:rPr>
        <w:t>重庆市</w:t>
      </w:r>
      <w:r>
        <w:rPr>
          <w:rFonts w:hint="eastAsia" w:ascii="Times New Roman" w:hAnsi="Times New Roman" w:eastAsia="方正仿宋_GBK"/>
          <w:color w:val="000000"/>
          <w:sz w:val="28"/>
          <w:szCs w:val="28"/>
        </w:rPr>
        <w:t>开州区汉丰第九小学党政办</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rPr>
        <w:t xml:space="preserve"> 　</w:t>
      </w:r>
      <w:r>
        <w:rPr>
          <w:rFonts w:ascii="Times New Roman" w:hAnsi="Times New Roman" w:eastAsia="方正仿宋_GBK"/>
          <w:color w:val="000000"/>
          <w:sz w:val="28"/>
          <w:szCs w:val="28"/>
        </w:rPr>
        <w:t>202</w:t>
      </w:r>
      <w:r>
        <w:rPr>
          <w:rFonts w:hint="eastAsia" w:ascii="Times New Roman" w:hAnsi="Times New Roman" w:eastAsia="方正仿宋_GBK"/>
          <w:color w:val="000000"/>
          <w:sz w:val="28"/>
          <w:szCs w:val="28"/>
        </w:rPr>
        <w:t>4</w:t>
      </w:r>
      <w:r>
        <w:rPr>
          <w:rFonts w:ascii="Times New Roman" w:hAnsi="Times New Roman" w:eastAsia="方正仿宋_GBK"/>
          <w:color w:val="000000"/>
          <w:sz w:val="28"/>
          <w:szCs w:val="28"/>
        </w:rPr>
        <w:t>年</w:t>
      </w:r>
      <w:r>
        <w:rPr>
          <w:rFonts w:hint="eastAsia" w:ascii="Times New Roman" w:hAnsi="Times New Roman" w:eastAsia="方正仿宋_GBK"/>
          <w:color w:val="000000"/>
          <w:sz w:val="28"/>
          <w:szCs w:val="28"/>
        </w:rPr>
        <w:t>3月21日印发</w:t>
      </w:r>
    </w:p>
    <w:sectPr>
      <w:footerReference r:id="rId3" w:type="default"/>
      <w:pgSz w:w="11906" w:h="16838"/>
      <w:pgMar w:top="1814" w:right="1531" w:bottom="181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E6699C-763B-4EB9-A8E8-F86B211520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4D5DD149-D2E2-4958-BE71-EA39607349BF}"/>
  </w:font>
  <w:font w:name="方正仿宋_GBK">
    <w:panose1 w:val="03000509000000000000"/>
    <w:charset w:val="86"/>
    <w:family w:val="script"/>
    <w:pitch w:val="default"/>
    <w:sig w:usb0="00000001" w:usb1="080E0000" w:usb2="00000000" w:usb3="00000000" w:csb0="00040000" w:csb1="00000000"/>
    <w:embedRegular r:id="rId3" w:fontKey="{CA9A149A-F8A1-4624-8D0D-86605E8B446B}"/>
  </w:font>
  <w:font w:name="方正楷体_GBK">
    <w:panose1 w:val="03000509000000000000"/>
    <w:charset w:val="86"/>
    <w:family w:val="script"/>
    <w:pitch w:val="default"/>
    <w:sig w:usb0="00000001" w:usb1="080E0000" w:usb2="00000000" w:usb3="00000000" w:csb0="00040000" w:csb1="00000000"/>
    <w:embedRegular r:id="rId4" w:fontKey="{46CB01B1-EF56-41B2-A7B4-FEF1B6DEBD47}"/>
  </w:font>
  <w:font w:name="方正小标宋简体">
    <w:altName w:val="黑体"/>
    <w:panose1 w:val="03000509000000000000"/>
    <w:charset w:val="86"/>
    <w:family w:val="script"/>
    <w:pitch w:val="default"/>
    <w:sig w:usb0="00000000" w:usb1="00000000" w:usb2="00000010" w:usb3="00000000" w:csb0="00040000" w:csb1="00000000"/>
    <w:embedRegular r:id="rId5" w:fontKey="{2C6DAF94-8E39-4240-8B19-A478678B65D7}"/>
  </w:font>
  <w:font w:name="方正小标宋_GBK">
    <w:panose1 w:val="03000509000000000000"/>
    <w:charset w:val="86"/>
    <w:family w:val="script"/>
    <w:pitch w:val="default"/>
    <w:sig w:usb0="00000001" w:usb1="080E0000" w:usb2="00000000" w:usb3="00000000" w:csb0="00040000" w:csb1="00000000"/>
    <w:embedRegular r:id="rId6" w:fontKey="{93311360-2852-496A-9AE9-B301670CF946}"/>
  </w:font>
  <w:font w:name="华文中宋">
    <w:altName w:val="宋体"/>
    <w:panose1 w:val="02010600040101010101"/>
    <w:charset w:val="86"/>
    <w:family w:val="auto"/>
    <w:pitch w:val="default"/>
    <w:sig w:usb0="00000000" w:usb1="00000000" w:usb2="00000010" w:usb3="00000000" w:csb0="0004009F" w:csb1="00000000"/>
    <w:embedRegular r:id="rId7" w:fontKey="{3EC95698-E87B-442C-B8BB-0374E4F40E40}"/>
  </w:font>
  <w:font w:name="方正黑体_GBK">
    <w:panose1 w:val="03000509000000000000"/>
    <w:charset w:val="86"/>
    <w:family w:val="script"/>
    <w:pitch w:val="default"/>
    <w:sig w:usb0="00000001" w:usb1="080E0000" w:usb2="00000000" w:usb3="00000000" w:csb0="00040000" w:csb1="00000000"/>
    <w:embedRegular r:id="rId8" w:fontKey="{B36BDFE4-117C-4EFC-BA9F-36B502730DD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3DB959E3"/>
    <w:rsid w:val="000369CB"/>
    <w:rsid w:val="00070973"/>
    <w:rsid w:val="00090986"/>
    <w:rsid w:val="00113630"/>
    <w:rsid w:val="00125A92"/>
    <w:rsid w:val="001B058D"/>
    <w:rsid w:val="001F0D3E"/>
    <w:rsid w:val="00232C92"/>
    <w:rsid w:val="00285D37"/>
    <w:rsid w:val="002A6A52"/>
    <w:rsid w:val="002A6BCA"/>
    <w:rsid w:val="002E228B"/>
    <w:rsid w:val="002E5994"/>
    <w:rsid w:val="003039DB"/>
    <w:rsid w:val="00344F17"/>
    <w:rsid w:val="00374147"/>
    <w:rsid w:val="0038522D"/>
    <w:rsid w:val="003F1A77"/>
    <w:rsid w:val="003F739D"/>
    <w:rsid w:val="00430F54"/>
    <w:rsid w:val="004345BA"/>
    <w:rsid w:val="00443660"/>
    <w:rsid w:val="004C3132"/>
    <w:rsid w:val="004E4FE8"/>
    <w:rsid w:val="00521B8B"/>
    <w:rsid w:val="00540792"/>
    <w:rsid w:val="00593B86"/>
    <w:rsid w:val="00661891"/>
    <w:rsid w:val="00670D14"/>
    <w:rsid w:val="00740395"/>
    <w:rsid w:val="00742267"/>
    <w:rsid w:val="007472F0"/>
    <w:rsid w:val="00806F9F"/>
    <w:rsid w:val="00831D32"/>
    <w:rsid w:val="00980EC4"/>
    <w:rsid w:val="009A586A"/>
    <w:rsid w:val="009B09E8"/>
    <w:rsid w:val="00A679B9"/>
    <w:rsid w:val="00AD4163"/>
    <w:rsid w:val="00B400DD"/>
    <w:rsid w:val="00B94CB0"/>
    <w:rsid w:val="00BB01D6"/>
    <w:rsid w:val="00C567E4"/>
    <w:rsid w:val="00D742F9"/>
    <w:rsid w:val="00DB2779"/>
    <w:rsid w:val="00DE5EA7"/>
    <w:rsid w:val="00DF5840"/>
    <w:rsid w:val="00E34613"/>
    <w:rsid w:val="00E6354D"/>
    <w:rsid w:val="00EC42A7"/>
    <w:rsid w:val="00FA4998"/>
    <w:rsid w:val="00FC02F0"/>
    <w:rsid w:val="04177E88"/>
    <w:rsid w:val="07116029"/>
    <w:rsid w:val="07C84BE9"/>
    <w:rsid w:val="0A5717D1"/>
    <w:rsid w:val="0AC16B70"/>
    <w:rsid w:val="0D0A6665"/>
    <w:rsid w:val="0EBC1C5F"/>
    <w:rsid w:val="14185B3C"/>
    <w:rsid w:val="156A1C12"/>
    <w:rsid w:val="16EB12D8"/>
    <w:rsid w:val="17374AB3"/>
    <w:rsid w:val="1959696E"/>
    <w:rsid w:val="1C281B10"/>
    <w:rsid w:val="1E996101"/>
    <w:rsid w:val="1FF91CDB"/>
    <w:rsid w:val="208740F0"/>
    <w:rsid w:val="20F645E7"/>
    <w:rsid w:val="21C22D4B"/>
    <w:rsid w:val="222774BB"/>
    <w:rsid w:val="275D7EB6"/>
    <w:rsid w:val="2CCC22D9"/>
    <w:rsid w:val="2FBC3FD9"/>
    <w:rsid w:val="33AD36DE"/>
    <w:rsid w:val="36C619D3"/>
    <w:rsid w:val="37BB6679"/>
    <w:rsid w:val="37E20FF4"/>
    <w:rsid w:val="396436D3"/>
    <w:rsid w:val="3D8C1AA8"/>
    <w:rsid w:val="3DB959E3"/>
    <w:rsid w:val="3FFE64BC"/>
    <w:rsid w:val="4448141F"/>
    <w:rsid w:val="4C4C24AE"/>
    <w:rsid w:val="4ED23610"/>
    <w:rsid w:val="4F1A237F"/>
    <w:rsid w:val="501436FA"/>
    <w:rsid w:val="525E6905"/>
    <w:rsid w:val="537B2B30"/>
    <w:rsid w:val="53B947B3"/>
    <w:rsid w:val="574C19C5"/>
    <w:rsid w:val="59FB52EE"/>
    <w:rsid w:val="5DB04599"/>
    <w:rsid w:val="5E2C7AA4"/>
    <w:rsid w:val="60C356D5"/>
    <w:rsid w:val="62266A3F"/>
    <w:rsid w:val="6240082A"/>
    <w:rsid w:val="65956E9C"/>
    <w:rsid w:val="66F33070"/>
    <w:rsid w:val="696C4BED"/>
    <w:rsid w:val="6E1B4841"/>
    <w:rsid w:val="6EC82673"/>
    <w:rsid w:val="734F2A3B"/>
    <w:rsid w:val="764B0603"/>
    <w:rsid w:val="77CE04E7"/>
    <w:rsid w:val="7BF16AC6"/>
    <w:rsid w:val="7F79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4"/>
    <w:qFormat/>
    <w:uiPriority w:val="0"/>
    <w:pPr>
      <w:ind w:firstLine="640" w:firstLineChars="200"/>
    </w:pPr>
    <w:rPr>
      <w:rFonts w:ascii="仿宋_GB2312" w:eastAsia="仿宋_GB2312"/>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styleId="13">
    <w:name w:val="List Paragraph"/>
    <w:basedOn w:val="1"/>
    <w:autoRedefine/>
    <w:qFormat/>
    <w:uiPriority w:val="34"/>
    <w:pPr>
      <w:ind w:firstLine="420" w:firstLineChars="200"/>
    </w:pPr>
    <w:rPr>
      <w:rFonts w:ascii="Calibri" w:hAnsi="Calibri"/>
      <w:szCs w:val="22"/>
    </w:rPr>
  </w:style>
  <w:style w:type="character" w:customStyle="1" w:styleId="14">
    <w:name w:val="正文文本缩进 Char"/>
    <w:link w:val="4"/>
    <w:autoRedefine/>
    <w:qFormat/>
    <w:uiPriority w:val="0"/>
    <w:rPr>
      <w:rFonts w:ascii="仿宋_GB2312" w:eastAsia="仿宋_GB2312" w:hAnsiTheme="minorHAnsi" w:cstheme="minorBidi"/>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364</Words>
  <Characters>2080</Characters>
  <Lines>17</Lines>
  <Paragraphs>4</Paragraphs>
  <TotalTime>7</TotalTime>
  <ScaleCrop>false</ScaleCrop>
  <LinksUpToDate>false</LinksUpToDate>
  <CharactersWithSpaces>2440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2022-09-16T05:42:00Z</dcterms:created>
  <dc:creator>秘书</dc:creator>
  <cp:lastModifiedBy>Administrator</cp:lastModifiedBy>
  <cp:lastPrinted>2022-10-07T02:56:00Z</cp:lastPrinted>
  <dcterms:modified xsi:type="dcterms:W3CDTF">2024-03-29T02:08:15Z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294590E1977545AB96041D214DA163E3_13</vt:lpwstr>
  </property>
</Properties>
</file>