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重庆市开州区竹溪中心幼儿园</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1、实行保育与教育相结合的原则，对幼儿实施体、智、德、美诸方面全面发展的教育，促进其身心和谐发展。</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2、做好入园孩子在园期间的安全监管、生理和心理卫生保健工作。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本单位内设3个</w:t>
      </w:r>
      <w:r>
        <w:rPr>
          <w:rFonts w:ascii="Times New Roman" w:hAnsi="Times New Roman" w:eastAsia="方正仿宋_GBK" w:cs="Times New Roman"/>
          <w:sz w:val="32"/>
          <w:szCs w:val="32"/>
          <w:shd w:val="clear" w:color="auto" w:fill="FFFFFF"/>
        </w:rPr>
        <w:t>职能</w:t>
      </w:r>
      <w:r>
        <w:rPr>
          <w:rFonts w:ascii="Times New Roman" w:hAnsi="Times New Roman" w:eastAsia="方正仿宋_GBK" w:cs="Times New Roman"/>
          <w:sz w:val="32"/>
        </w:rPr>
        <w:t>处室，分别是</w:t>
      </w:r>
      <w:r>
        <w:rPr>
          <w:rFonts w:ascii="Times New Roman" w:hAnsi="Times New Roman" w:eastAsia="方正仿宋_GBK" w:cs="Times New Roman"/>
          <w:sz w:val="32"/>
          <w:szCs w:val="32"/>
          <w:shd w:val="clear" w:color="auto" w:fill="FFFFFF"/>
        </w:rPr>
        <w:t>保教处、综合办、安全稳定办公室</w:t>
      </w:r>
      <w:r>
        <w:rPr>
          <w:rFonts w:ascii="Times New Roman" w:hAnsi="Times New Roman" w:eastAsia="方正仿宋_GBK" w:cs="Times New Roman"/>
          <w:sz w:val="32"/>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color w:val="000000" w:themeColor="text1"/>
          <w:sz w:val="32"/>
          <w14:textFill>
            <w14:solidFill>
              <w14:schemeClr w14:val="tx1"/>
            </w14:solidFill>
          </w14:textFill>
        </w:rPr>
      </w:pPr>
      <w:r>
        <w:rPr>
          <w:rFonts w:ascii="Times New Roman" w:hAnsi="Times New Roman" w:eastAsia="方正楷体_GBK" w:cs="Times New Roman"/>
          <w:color w:val="000000" w:themeColor="text1"/>
          <w:sz w:val="32"/>
          <w14:textFill>
            <w14:solidFill>
              <w14:schemeClr w14:val="tx1"/>
            </w14:solidFill>
          </w14:textFill>
        </w:rPr>
        <w:t>（一）收入预算：</w:t>
      </w:r>
      <w:r>
        <w:rPr>
          <w:rFonts w:ascii="Times New Roman" w:hAnsi="Times New Roman" w:eastAsia="方正仿宋_GBK" w:cs="Times New Roman"/>
          <w:color w:val="000000" w:themeColor="text1"/>
          <w:sz w:val="32"/>
          <w14:textFill>
            <w14:solidFill>
              <w14:schemeClr w14:val="tx1"/>
            </w14:solidFill>
          </w14:textFill>
        </w:rPr>
        <w:t>2023年年初预算数420.08万元（含上年收入结转64.7万元），其中：一般公共预算拨款420.08万元，上年结转64.7万元。收入较2022年增加123.28万元，主要是教育经费拨款增加9.34万元，项目预算拨款增加113.85万元，含上年结转结余项目经费64.7万元。</w:t>
      </w:r>
    </w:p>
    <w:p>
      <w:pPr>
        <w:spacing w:line="600" w:lineRule="exact"/>
        <w:ind w:firstLine="640" w:firstLineChars="200"/>
        <w:rPr>
          <w:rFonts w:ascii="Times New Roman" w:hAnsi="Times New Roman" w:eastAsia="方正仿宋_GBK" w:cs="Times New Roman"/>
          <w:color w:val="000000" w:themeColor="text1"/>
          <w:sz w:val="32"/>
          <w14:textFill>
            <w14:solidFill>
              <w14:schemeClr w14:val="tx1"/>
            </w14:solidFill>
          </w14:textFill>
        </w:rPr>
      </w:pPr>
      <w:r>
        <w:rPr>
          <w:rFonts w:ascii="Times New Roman" w:hAnsi="Times New Roman" w:eastAsia="方正楷体_GBK" w:cs="Times New Roman"/>
          <w:color w:val="000000" w:themeColor="text1"/>
          <w:sz w:val="32"/>
          <w14:textFill>
            <w14:solidFill>
              <w14:schemeClr w14:val="tx1"/>
            </w14:solidFill>
          </w14:textFill>
        </w:rPr>
        <w:t>（二）支出预算：</w:t>
      </w:r>
      <w:r>
        <w:rPr>
          <w:rFonts w:ascii="Times New Roman" w:hAnsi="Times New Roman" w:eastAsia="方正仿宋_GBK" w:cs="Times New Roman"/>
          <w:color w:val="000000" w:themeColor="text1"/>
          <w:sz w:val="32"/>
          <w14:textFill>
            <w14:solidFill>
              <w14:schemeClr w14:val="tx1"/>
            </w14:solidFill>
          </w14:textFill>
        </w:rPr>
        <w:t>2023年年初预算数420.08万元，其中：教育支出预算350.14万元，社会保障和就业支出预算35.63万元，卫生健康支出预算17.64万元，住房保障支出预算16.67万元。支出预算较2022年增加123.28万元，主要是基本支出预算增加 9.34万元，项目支出预算增加113.85万元，含上年结转结余项目经费64.7万元。</w:t>
      </w:r>
    </w:p>
    <w:p>
      <w:pPr>
        <w:spacing w:line="600" w:lineRule="exact"/>
        <w:ind w:left="640"/>
        <w:rPr>
          <w:rFonts w:ascii="Times New Roman" w:hAnsi="Times New Roman" w:eastAsia="方正黑体_GBK" w:cs="Times New Roman"/>
          <w:color w:val="000000" w:themeColor="text1"/>
          <w:sz w:val="32"/>
          <w14:textFill>
            <w14:solidFill>
              <w14:schemeClr w14:val="tx1"/>
            </w14:solidFill>
          </w14:textFill>
        </w:rPr>
      </w:pPr>
      <w:r>
        <w:rPr>
          <w:rFonts w:ascii="Times New Roman" w:hAnsi="Times New Roman" w:eastAsia="方正黑体_GBK" w:cs="Times New Roman"/>
          <w:color w:val="000000" w:themeColor="text1"/>
          <w:sz w:val="32"/>
          <w14:textFill>
            <w14:solidFill>
              <w14:schemeClr w14:val="tx1"/>
            </w14:solidFill>
          </w14:textFill>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themeColor="text1"/>
          <w:sz w:val="32"/>
          <w14:textFill>
            <w14:solidFill>
              <w14:schemeClr w14:val="tx1"/>
            </w14:solidFill>
          </w14:textFill>
        </w:rPr>
        <w:t>2023年一般公共预算财政拨款收入420.08万元，一般公共预算财政拨款支出420.08万元，比2022年增加123.28万元。其中：基本支出232.45万元，比2022年增加4.68万元，主要原因是工资调标后工资福利支出增加，主要用于保</w:t>
      </w:r>
      <w:r>
        <w:rPr>
          <w:rFonts w:ascii="Times New Roman" w:hAnsi="Times New Roman" w:eastAsia="方正仿宋_GBK" w:cs="Times New Roman"/>
          <w:sz w:val="32"/>
        </w:rPr>
        <w:t>障在职人员工资福利及社会保险缴费，退休人员补助等，保障部门正常运转的各项商品服务支出；项目支出117.69万元，比2022年增加113.85万元，主要原因是上年的用于改善园所环境的项目经费和助学金没有纳入年初预算，主要用于学前营改、资助困难儿童以及改善园所环境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我单位2022年无使用政府性基金预算拨款安排的支出。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2023年项目支出均实行了绩效目标管理，涉及一般公共预算当年财政拨款52.99万元。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辆、执勤执法用车0辆。</w:t>
      </w:r>
    </w:p>
    <w:p>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jc w:val="left"/>
        <w:rPr>
          <w:rFonts w:ascii="Times New Roman" w:hAnsi="Times New Roman" w:cs="Times New Roman"/>
        </w:rPr>
      </w:pPr>
      <w:r>
        <w:rPr>
          <w:rFonts w:ascii="Times New Roman" w:hAnsi="Times New Roman" w:eastAsia="方正仿宋_GBK" w:cs="Times New Roman"/>
          <w:b/>
          <w:sz w:val="32"/>
          <w:szCs w:val="24"/>
        </w:rPr>
        <w:t>部门预算公开联系人：易炳燕  联系方式：</w:t>
      </w:r>
      <w:r>
        <w:rPr>
          <w:rFonts w:hint="eastAsia" w:ascii="Times New Roman" w:hAnsi="Times New Roman" w:eastAsia="方正仿宋_GBK" w:cs="Times New Roman"/>
          <w:b/>
          <w:sz w:val="32"/>
          <w:szCs w:val="24"/>
        </w:rPr>
        <w:t>（</w:t>
      </w:r>
      <w:r>
        <w:rPr>
          <w:rFonts w:ascii="Times New Roman" w:hAnsi="Times New Roman" w:eastAsia="方正仿宋_GBK" w:cs="Times New Roman"/>
          <w:b/>
          <w:sz w:val="32"/>
          <w:szCs w:val="24"/>
        </w:rPr>
        <w:t>易炳燕</w:t>
      </w:r>
      <w:r>
        <w:rPr>
          <w:rFonts w:hint="eastAsia" w:ascii="Times New Roman" w:hAnsi="Times New Roman" w:eastAsia="方正仿宋_GBK" w:cs="Times New Roman"/>
          <w:b/>
          <w:sz w:val="32"/>
          <w:szCs w:val="24"/>
        </w:rPr>
        <w:t>，电话：</w:t>
      </w:r>
      <w:r>
        <w:rPr>
          <w:rFonts w:ascii="Times New Roman" w:hAnsi="Times New Roman" w:eastAsia="方正仿宋_GBK" w:cs="Times New Roman"/>
          <w:b/>
          <w:sz w:val="32"/>
          <w:szCs w:val="24"/>
        </w:rPr>
        <w:t>023-52891159</w:t>
      </w:r>
      <w:r>
        <w:rPr>
          <w:rFonts w:hint="eastAsia" w:ascii="Times New Roman" w:hAnsi="Times New Roman" w:eastAsia="方正仿宋_GBK" w:cs="Times New Roman"/>
          <w:b/>
          <w:sz w:val="32"/>
          <w:szCs w:val="24"/>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OThmOGU2Njk1ZWVmZWVmNGUzYWZlYmNiY2Q4OGYifQ=="/>
  </w:docVars>
  <w:rsids>
    <w:rsidRoot w:val="007468AC"/>
    <w:rsid w:val="00022585"/>
    <w:rsid w:val="000769DE"/>
    <w:rsid w:val="00087E58"/>
    <w:rsid w:val="000C588F"/>
    <w:rsid w:val="001035F6"/>
    <w:rsid w:val="00201200"/>
    <w:rsid w:val="00257EAC"/>
    <w:rsid w:val="00366BCB"/>
    <w:rsid w:val="003A388C"/>
    <w:rsid w:val="003A5372"/>
    <w:rsid w:val="003C39A3"/>
    <w:rsid w:val="004A12FC"/>
    <w:rsid w:val="004A4BF6"/>
    <w:rsid w:val="004F1A0B"/>
    <w:rsid w:val="004F7FF4"/>
    <w:rsid w:val="005426C0"/>
    <w:rsid w:val="005523E5"/>
    <w:rsid w:val="00627C64"/>
    <w:rsid w:val="0063471F"/>
    <w:rsid w:val="0064314C"/>
    <w:rsid w:val="00685754"/>
    <w:rsid w:val="006D5415"/>
    <w:rsid w:val="007140BC"/>
    <w:rsid w:val="007468AC"/>
    <w:rsid w:val="0075286F"/>
    <w:rsid w:val="007C05D9"/>
    <w:rsid w:val="00833214"/>
    <w:rsid w:val="008B467B"/>
    <w:rsid w:val="00AC1EC0"/>
    <w:rsid w:val="00AC649B"/>
    <w:rsid w:val="00AF39CD"/>
    <w:rsid w:val="00AF5A2C"/>
    <w:rsid w:val="00B16854"/>
    <w:rsid w:val="00B55F6A"/>
    <w:rsid w:val="00B63FAF"/>
    <w:rsid w:val="00B7782E"/>
    <w:rsid w:val="00BE4B16"/>
    <w:rsid w:val="00BF6178"/>
    <w:rsid w:val="00C827F3"/>
    <w:rsid w:val="00CC66F4"/>
    <w:rsid w:val="00D05E02"/>
    <w:rsid w:val="00D72234"/>
    <w:rsid w:val="00D75676"/>
    <w:rsid w:val="00D922F8"/>
    <w:rsid w:val="00EA620F"/>
    <w:rsid w:val="00EF617F"/>
    <w:rsid w:val="00F10AEE"/>
    <w:rsid w:val="00F34381"/>
    <w:rsid w:val="00F34C12"/>
    <w:rsid w:val="00F36862"/>
    <w:rsid w:val="00F71DEB"/>
    <w:rsid w:val="00F869D1"/>
    <w:rsid w:val="00FC6A34"/>
    <w:rsid w:val="03EF0293"/>
    <w:rsid w:val="081933B1"/>
    <w:rsid w:val="323B27B4"/>
    <w:rsid w:val="39DF4E19"/>
    <w:rsid w:val="59233643"/>
    <w:rsid w:val="6EB704DF"/>
    <w:rsid w:val="709F5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224</Words>
  <Characters>1282</Characters>
  <Lines>10</Lines>
  <Paragraphs>3</Paragraphs>
  <TotalTime>0</TotalTime>
  <ScaleCrop>false</ScaleCrop>
  <LinksUpToDate>false</LinksUpToDate>
  <CharactersWithSpaces>1503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2023-03-01T00:09:00Z</cp:lastPrinted>
  <dcterms:modified xsi:type="dcterms:W3CDTF">2023-03-16T07:52:32Z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022F4EF0CEE4406BAB78BFF14583ED6A</vt:lpwstr>
  </property>
</Properties>
</file>