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重庆市开州区长沙中心幼儿园</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（一）职能职责</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 xml:space="preserve">实行保育与教育相结合的原则，对幼儿实施体、智、德、美诸方面全面发展的教育，促进其身心和谐发展。 </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做好入园孩子在园期间的安全监管、生理和心理卫生保健工作。</w:t>
      </w:r>
    </w:p>
    <w:p>
      <w:pPr>
        <w:pStyle w:val="12"/>
        <w:tabs>
          <w:tab w:val="center" w:pos="4153"/>
          <w:tab w:val="left" w:pos="7275"/>
        </w:tabs>
        <w:spacing w:line="600" w:lineRule="exact"/>
        <w:ind w:left="640" w:firstLine="0" w:firstLineChars="0"/>
        <w:jc w:val="left"/>
        <w:rPr>
          <w:rFonts w:ascii="Times New Roman" w:hAnsi="Times New Roman" w:eastAsia="方正仿宋_GBK"/>
          <w:sz w:val="32"/>
        </w:rPr>
      </w:pPr>
      <w:r>
        <w:rPr>
          <w:rFonts w:ascii="Times New Roman" w:hAnsi="Times New Roman" w:eastAsia="方正仿宋_GBK"/>
          <w:sz w:val="32"/>
        </w:rPr>
        <w:t>（二）单位构成</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szCs w:val="32"/>
        </w:rPr>
        <w:t>本单位内设3个职能处室，分别是保教处、综合办、安全稳定办公室。</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589.98万元（含上年结转37.00万元），其中：一般公共预算拨款589.98万元，含上年结转37.00万元。收入较2022年增加138.77万元，主要是各类人员经费、消防安全隐患整改、学前营改、幼儿活动室地板整治等项目经费拨款增加138.77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589.98万元，其中：教育支出预算473.58万元，社会保障和就业支出预算64.04万元，卫生健康支出预算27.23万元，住房保障支出预算25.12万元。支出预算较2022年增加138.77万元，主要是基本支出预算增加31.13万元，项目支出预算增加107.64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2023年一般公共预算财政拨款收入589.98万元，一般公共预算财政拨款支出589.98万元，比2022年增加138.77万元。其中：基本支出476.58万元，比2022年增加31.13万元，主要原</w:t>
      </w:r>
      <w:r>
        <w:rPr>
          <w:rFonts w:hint="eastAsia" w:ascii="Times New Roman" w:hAnsi="Times New Roman" w:eastAsia="方正仿宋_GBK" w:cs="Times New Roman"/>
          <w:sz w:val="32"/>
        </w:rPr>
        <w:t>因</w:t>
      </w:r>
      <w:r>
        <w:rPr>
          <w:rFonts w:hint="eastAsia" w:ascii="Times New Roman" w:hAnsi="Times New Roman" w:eastAsia="方正仿宋_GBK" w:cs="Times New Roman"/>
          <w:sz w:val="32"/>
          <w:lang w:eastAsia="zh-CN"/>
        </w:rPr>
        <w:t>是</w:t>
      </w:r>
      <w:r>
        <w:rPr>
          <w:rFonts w:ascii="Times New Roman" w:hAnsi="Times New Roman" w:eastAsia="方正仿宋_GBK" w:cs="Times New Roman"/>
          <w:sz w:val="32"/>
        </w:rPr>
        <w:t>教育类支出、社会保障和就业支出</w:t>
      </w:r>
      <w:r>
        <w:rPr>
          <w:rFonts w:hint="eastAsia" w:ascii="Times New Roman" w:hAnsi="Times New Roman" w:eastAsia="方正仿宋_GBK" w:cs="Times New Roman"/>
          <w:sz w:val="32"/>
        </w:rPr>
        <w:t>增加</w:t>
      </w:r>
      <w:r>
        <w:rPr>
          <w:rFonts w:ascii="Times New Roman" w:hAnsi="Times New Roman" w:eastAsia="方正仿宋_GBK" w:cs="Times New Roman"/>
          <w:sz w:val="32"/>
        </w:rPr>
        <w:t>，主要用于保障在职人员工资福利及社会保险缴费，离休人员离休费，退休人员补助等，保障部门正常运转的各项商品服务支出；项目支出113.4万元，比2022年增加107.64万元，主要原因是消防安全隐患整改、学前营改、幼儿活动室地板整治等项目，主要用于改善办园条件。</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本单位2022年、2023年均无“三公”经费预算。</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w:t>
      </w:r>
      <w:r>
        <w:rPr>
          <w:rFonts w:hint="eastAsia" w:ascii="Times New Roman" w:hAnsi="Times New Roman" w:eastAsia="方正仿宋_GBK" w:cs="Times New Roman"/>
          <w:sz w:val="32"/>
        </w:rPr>
        <w:t>.</w:t>
      </w:r>
      <w:r>
        <w:rPr>
          <w:rFonts w:ascii="Times New Roman" w:hAnsi="Times New Roman" w:eastAsia="方正仿宋_GBK" w:cs="Times New Roman"/>
          <w:sz w:val="32"/>
        </w:rPr>
        <w:t>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Times New Roman" w:hAnsi="Times New Roman" w:eastAsia="方正仿宋_GBK" w:cs="Times New Roman"/>
          <w:sz w:val="32"/>
        </w:rPr>
        <w:t>.</w:t>
      </w:r>
      <w:r>
        <w:rPr>
          <w:rFonts w:ascii="Times New Roman" w:hAnsi="Times New Roman" w:eastAsia="方正仿宋_GBK" w:cs="Times New Roman"/>
          <w:sz w:val="32"/>
        </w:rPr>
        <w:t>政府采购情况。本单位2022年、2023年均无政府采购预算。</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w:t>
      </w:r>
      <w:r>
        <w:rPr>
          <w:rFonts w:hint="eastAsia" w:ascii="Times New Roman" w:hAnsi="Times New Roman" w:eastAsia="方正仿宋_GBK" w:cs="Times New Roman"/>
          <w:sz w:val="32"/>
        </w:rPr>
        <w:t>.</w:t>
      </w:r>
      <w:r>
        <w:rPr>
          <w:rFonts w:ascii="Times New Roman" w:hAnsi="Times New Roman" w:eastAsia="方正仿宋_GBK" w:cs="Times New Roman"/>
          <w:sz w:val="32"/>
        </w:rPr>
        <w:t>绩效目标设置情况。</w:t>
      </w:r>
      <w:r>
        <w:rPr>
          <w:rFonts w:ascii="Times New Roman" w:hAnsi="Times New Roman" w:eastAsia="方正仿宋_GBK" w:cs="Times New Roman"/>
          <w:color w:val="000000"/>
          <w:sz w:val="32"/>
        </w:rPr>
        <w:t>2023年项目支出均实行了绩效目标管理，涉及一般公共预算当年财政拨款107.64万元。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w:t>
      </w:r>
      <w:r>
        <w:rPr>
          <w:rFonts w:hint="eastAsia" w:ascii="Times New Roman" w:hAnsi="Times New Roman" w:eastAsia="方正仿宋_GBK" w:cs="Times New Roman"/>
          <w:color w:val="000000"/>
          <w:sz w:val="32"/>
        </w:rPr>
        <w:t>.</w:t>
      </w:r>
      <w:r>
        <w:rPr>
          <w:rFonts w:ascii="Times New Roman" w:hAnsi="Times New Roman" w:eastAsia="方正仿宋_GBK" w:cs="Times New Roman"/>
          <w:color w:val="000000"/>
          <w:sz w:val="32"/>
        </w:rPr>
        <w:t>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2022年12月，所属各预算单位共有车辆0辆，其中一般公务用车0辆、执勤执法用车0辆。2023年一般公共预算安排购置车辆0辆，其中一般公务用车0辆、执勤执法用车0辆。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b/>
          <w:sz w:val="32"/>
        </w:rPr>
        <w:t>部门预算公开联系人：华伦科</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华伦科</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023-52532236</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468AC"/>
    <w:rsid w:val="00022585"/>
    <w:rsid w:val="00051C59"/>
    <w:rsid w:val="000525FB"/>
    <w:rsid w:val="000769DE"/>
    <w:rsid w:val="000C588F"/>
    <w:rsid w:val="000D7DE1"/>
    <w:rsid w:val="001B5618"/>
    <w:rsid w:val="001E0979"/>
    <w:rsid w:val="001F4EC1"/>
    <w:rsid w:val="00201200"/>
    <w:rsid w:val="00257EAC"/>
    <w:rsid w:val="002B1187"/>
    <w:rsid w:val="00366BCB"/>
    <w:rsid w:val="003A388C"/>
    <w:rsid w:val="003E11DC"/>
    <w:rsid w:val="00401228"/>
    <w:rsid w:val="00450C0C"/>
    <w:rsid w:val="004A12FC"/>
    <w:rsid w:val="004A4BF6"/>
    <w:rsid w:val="004F1A0B"/>
    <w:rsid w:val="004F7FF4"/>
    <w:rsid w:val="005336B5"/>
    <w:rsid w:val="005523E5"/>
    <w:rsid w:val="00626861"/>
    <w:rsid w:val="00627C64"/>
    <w:rsid w:val="0063471F"/>
    <w:rsid w:val="0064314C"/>
    <w:rsid w:val="00656F76"/>
    <w:rsid w:val="00685754"/>
    <w:rsid w:val="006D5415"/>
    <w:rsid w:val="007140BC"/>
    <w:rsid w:val="0073346F"/>
    <w:rsid w:val="007468AC"/>
    <w:rsid w:val="007C05D9"/>
    <w:rsid w:val="008161AE"/>
    <w:rsid w:val="008230E9"/>
    <w:rsid w:val="00833214"/>
    <w:rsid w:val="008B467B"/>
    <w:rsid w:val="008C19A5"/>
    <w:rsid w:val="00986036"/>
    <w:rsid w:val="00AC1EC0"/>
    <w:rsid w:val="00AC649B"/>
    <w:rsid w:val="00AF39CD"/>
    <w:rsid w:val="00B01F1A"/>
    <w:rsid w:val="00B55F6A"/>
    <w:rsid w:val="00B63FAF"/>
    <w:rsid w:val="00BF6178"/>
    <w:rsid w:val="00C027DF"/>
    <w:rsid w:val="00C522CA"/>
    <w:rsid w:val="00C827F3"/>
    <w:rsid w:val="00CC66F4"/>
    <w:rsid w:val="00D05E02"/>
    <w:rsid w:val="00D72234"/>
    <w:rsid w:val="00D75676"/>
    <w:rsid w:val="00D922F8"/>
    <w:rsid w:val="00DC194C"/>
    <w:rsid w:val="00EA620F"/>
    <w:rsid w:val="00EF617F"/>
    <w:rsid w:val="00F34381"/>
    <w:rsid w:val="00F34C12"/>
    <w:rsid w:val="00F36862"/>
    <w:rsid w:val="00F71DEB"/>
    <w:rsid w:val="0D836B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 w:type="paragraph" w:customStyle="1" w:styleId="12">
    <w:name w:val="_Style 11"/>
    <w:basedOn w:val="1"/>
    <w:next w:val="10"/>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3</Pages>
  <Words>220</Words>
  <Characters>1258</Characters>
  <Lines>10</Lines>
  <Paragraphs>2</Paragraphs>
  <TotalTime>0</TotalTime>
  <ScaleCrop>false</ScaleCrop>
  <LinksUpToDate>false</LinksUpToDate>
  <CharactersWithSpaces>1476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2023-03-16T07:37:29Z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