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DD72B2">
      <w:pPr>
        <w:spacing w:line="600" w:lineRule="exact"/>
        <w:jc w:val="center"/>
        <w:rPr>
          <w:rFonts w:ascii="华文中宋" w:eastAsia="华文中宋"/>
          <w:sz w:val="44"/>
          <w:szCs w:val="44"/>
        </w:rPr>
      </w:pPr>
      <w:r>
        <w:rPr>
          <w:rFonts w:hint="eastAsia" w:ascii="华文中宋" w:hAnsi="华文中宋" w:cs="宋体"/>
          <w:sz w:val="44"/>
          <w:szCs w:val="44"/>
        </w:rPr>
        <w:t>重庆市开州区市场监督管理局</w:t>
      </w:r>
    </w:p>
    <w:p w14:paraId="5C32D012">
      <w:pPr>
        <w:spacing w:line="600" w:lineRule="exact"/>
        <w:jc w:val="center"/>
        <w:rPr>
          <w:rFonts w:ascii="华文中宋" w:eastAsia="华文中宋"/>
          <w:sz w:val="44"/>
          <w:szCs w:val="44"/>
        </w:rPr>
      </w:pPr>
      <w:r>
        <w:rPr>
          <w:rFonts w:ascii="华文中宋" w:hAnsi="华文中宋" w:cs="华文中宋"/>
          <w:sz w:val="44"/>
          <w:szCs w:val="44"/>
        </w:rPr>
        <w:t>2020</w:t>
      </w:r>
      <w:r>
        <w:rPr>
          <w:rFonts w:hint="eastAsia" w:ascii="华文中宋" w:hAnsi="华文中宋" w:cs="宋体"/>
          <w:sz w:val="44"/>
          <w:szCs w:val="44"/>
        </w:rPr>
        <w:t>年部门预算情况说明</w:t>
      </w:r>
    </w:p>
    <w:p w14:paraId="6AE6D5B2">
      <w:pPr>
        <w:spacing w:line="600" w:lineRule="exact"/>
        <w:ind w:firstLine="880" w:firstLineChars="200"/>
        <w:jc w:val="center"/>
        <w:rPr>
          <w:rFonts w:ascii="华文中宋" w:eastAsia="华文中宋"/>
          <w:sz w:val="44"/>
          <w:szCs w:val="44"/>
        </w:rPr>
      </w:pPr>
      <w:r>
        <w:rPr>
          <w:rFonts w:ascii="华文中宋" w:hAnsi="华文中宋" w:cs="华文中宋"/>
          <w:sz w:val="44"/>
          <w:szCs w:val="44"/>
        </w:rPr>
        <w:t xml:space="preserve"> </w:t>
      </w:r>
    </w:p>
    <w:p w14:paraId="614A7D2F">
      <w:pPr>
        <w:pStyle w:val="4"/>
        <w:widowControl/>
        <w:spacing w:before="0" w:beforeAutospacing="0" w:after="0" w:afterAutospacing="0" w:line="560" w:lineRule="exact"/>
        <w:ind w:firstLine="640" w:firstLineChars="200"/>
        <w:rPr>
          <w:rFonts w:ascii="??_GB2312" w:hAnsi="??_GB2312" w:cs="??_GB2312"/>
          <w:kern w:val="2"/>
          <w:sz w:val="32"/>
          <w:szCs w:val="32"/>
        </w:rPr>
      </w:pPr>
      <w:r>
        <w:rPr>
          <w:rFonts w:hint="eastAsia" w:ascii="??_GB2312" w:hAnsi="??_GB2312" w:cs="宋体"/>
          <w:kern w:val="2"/>
          <w:sz w:val="32"/>
          <w:szCs w:val="32"/>
        </w:rPr>
        <w:t>一、单位基本情况</w:t>
      </w:r>
    </w:p>
    <w:p w14:paraId="14A0A213">
      <w:pPr>
        <w:pStyle w:val="4"/>
        <w:widowControl/>
        <w:spacing w:before="0" w:beforeAutospacing="0" w:after="0" w:afterAutospacing="0" w:line="560" w:lineRule="exact"/>
        <w:ind w:left="640" w:leftChars="305" w:firstLine="636" w:firstLineChars="198"/>
        <w:rPr>
          <w:rFonts w:ascii="??_GB2312" w:hAnsi="??_GB2312" w:cs="??_GB2312"/>
          <w:kern w:val="2"/>
          <w:sz w:val="32"/>
          <w:szCs w:val="32"/>
        </w:rPr>
      </w:pPr>
      <w:r>
        <w:rPr>
          <w:rFonts w:hint="eastAsia" w:cs="宋体"/>
          <w:b/>
          <w:bCs/>
          <w:kern w:val="2"/>
          <w:sz w:val="32"/>
          <w:szCs w:val="32"/>
        </w:rPr>
        <w:t>（一）</w:t>
      </w:r>
      <w:r>
        <w:rPr>
          <w:rFonts w:hint="eastAsia" w:ascii="??_GB2312" w:hAnsi="??_GB2312" w:cs="宋体"/>
          <w:kern w:val="2"/>
          <w:sz w:val="32"/>
          <w:szCs w:val="32"/>
        </w:rPr>
        <w:t>重庆市开州区市场监督管理局（重庆市开州区知识产权局）的主要职能职责：</w:t>
      </w:r>
    </w:p>
    <w:p w14:paraId="2B552A36">
      <w:pPr>
        <w:pStyle w:val="4"/>
        <w:widowControl/>
        <w:spacing w:before="0" w:beforeAutospacing="0" w:after="0" w:afterAutospacing="0" w:line="560" w:lineRule="exact"/>
        <w:ind w:firstLine="672"/>
        <w:rPr>
          <w:rFonts w:ascii="??_GB2312" w:hAnsi="??_GB2312" w:cs="??_GB2312"/>
          <w:kern w:val="2"/>
          <w:sz w:val="32"/>
          <w:szCs w:val="32"/>
        </w:rPr>
      </w:pPr>
      <w:r>
        <w:rPr>
          <w:rFonts w:ascii="??_GB2312" w:hAnsi="??_GB2312" w:cs="??_GB2312"/>
          <w:kern w:val="2"/>
          <w:sz w:val="32"/>
          <w:szCs w:val="32"/>
        </w:rPr>
        <w:t>1.</w:t>
      </w:r>
      <w:r>
        <w:rPr>
          <w:rFonts w:hint="eastAsia" w:ascii="??_GB2312" w:hAnsi="??_GB2312" w:cs="宋体"/>
          <w:kern w:val="2"/>
          <w:sz w:val="32"/>
          <w:szCs w:val="32"/>
        </w:rPr>
        <w:t>负责市场综合监督管理。贯彻执行市场监督管理有关法律、法规、规章，执行国家标准和安全技术规范，组织实施市场监督管理有关政策、规划和地方标准。组织实施质量强国战略、食品药品安全战略和标准化战略。规范和维护市场秩序，营造诚实守信、公平竞争的市场环境。</w:t>
      </w:r>
    </w:p>
    <w:p w14:paraId="2A50BE0B">
      <w:pPr>
        <w:pStyle w:val="4"/>
        <w:widowControl/>
        <w:spacing w:before="0" w:beforeAutospacing="0" w:after="0" w:afterAutospacing="0" w:line="560" w:lineRule="exact"/>
        <w:ind w:firstLine="672"/>
        <w:rPr>
          <w:rFonts w:ascii="??_GB2312" w:hAnsi="??_GB2312" w:cs="??_GB2312"/>
          <w:kern w:val="2"/>
          <w:sz w:val="32"/>
          <w:szCs w:val="32"/>
        </w:rPr>
      </w:pPr>
      <w:r>
        <w:rPr>
          <w:rFonts w:ascii="??_GB2312" w:hAnsi="??_GB2312" w:cs="??_GB2312"/>
          <w:kern w:val="2"/>
          <w:sz w:val="32"/>
          <w:szCs w:val="32"/>
        </w:rPr>
        <w:t>2.</w:t>
      </w:r>
      <w:r>
        <w:rPr>
          <w:rFonts w:hint="eastAsia" w:ascii="??_GB2312" w:hAnsi="??_GB2312" w:cs="宋体"/>
          <w:kern w:val="2"/>
          <w:sz w:val="32"/>
          <w:szCs w:val="32"/>
        </w:rPr>
        <w:t>负责食品药品安全监督管理综合协调。组织实施食品药品安全政策措施。负责食品药品安全应急体系建设，组织实施食品药品安全事件应急处置和调查处理工作，监督实施食品药品问题产品召回制度，承担食品药品电子监管追溯体系和信息化建设。建立健全食品安全重要信息直报制度。承担区食品药品安全委员会日常工作。</w:t>
      </w:r>
    </w:p>
    <w:p w14:paraId="5C9909A2">
      <w:pPr>
        <w:pStyle w:val="4"/>
        <w:widowControl/>
        <w:spacing w:before="0" w:beforeAutospacing="0" w:after="0" w:afterAutospacing="0" w:line="560" w:lineRule="exact"/>
        <w:ind w:firstLine="672"/>
        <w:rPr>
          <w:rFonts w:ascii="??_GB2312" w:hAnsi="??_GB2312" w:cs="??_GB2312"/>
          <w:kern w:val="2"/>
          <w:sz w:val="32"/>
          <w:szCs w:val="32"/>
        </w:rPr>
      </w:pPr>
      <w:r>
        <w:rPr>
          <w:rFonts w:ascii="??_GB2312" w:hAnsi="??_GB2312" w:cs="??_GB2312"/>
          <w:kern w:val="2"/>
          <w:sz w:val="32"/>
          <w:szCs w:val="32"/>
        </w:rPr>
        <w:t>3.</w:t>
      </w:r>
      <w:r>
        <w:rPr>
          <w:rFonts w:hint="eastAsia" w:ascii="??_GB2312" w:hAnsi="??_GB2312" w:cs="宋体"/>
          <w:kern w:val="2"/>
          <w:sz w:val="32"/>
          <w:szCs w:val="32"/>
        </w:rPr>
        <w:t>负责食品安全监督管理。建立覆盖食品、食品添加剂及食品相关产品生产、流通、消费全过程的监督检查制度和隐患排查治理机制并组织实施，防范区域性、系统性食品安全风险。推动食品、食品添加剂及食品相关产品生产经营者落实主体责任。组织开展食品、食品添加剂及食品相关产品安全监督抽检、风险监测、核查处置和风险预警、风险交流工作。收集上报食品安全信息。组织实施特殊食品监督管理。负责食品、食品添加剂及食品相关产品生产、加工、经营及餐饮行政许可管理。负责重大活动食品安全保障工作。</w:t>
      </w:r>
    </w:p>
    <w:p w14:paraId="7C39E88C">
      <w:pPr>
        <w:pStyle w:val="4"/>
        <w:widowControl/>
        <w:spacing w:before="0" w:beforeAutospacing="0" w:after="0" w:afterAutospacing="0" w:line="560" w:lineRule="exact"/>
        <w:ind w:firstLine="672"/>
        <w:rPr>
          <w:rFonts w:ascii="??_GB2312" w:hAnsi="??_GB2312" w:cs="??_GB2312"/>
          <w:kern w:val="2"/>
          <w:sz w:val="32"/>
          <w:szCs w:val="32"/>
        </w:rPr>
      </w:pPr>
      <w:r>
        <w:rPr>
          <w:rFonts w:ascii="??_GB2312" w:hAnsi="??_GB2312" w:cs="??_GB2312"/>
          <w:kern w:val="2"/>
          <w:sz w:val="32"/>
          <w:szCs w:val="32"/>
        </w:rPr>
        <w:t>4.</w:t>
      </w:r>
      <w:r>
        <w:rPr>
          <w:rFonts w:hint="eastAsia" w:ascii="??_GB2312" w:hAnsi="??_GB2312" w:cs="宋体"/>
          <w:kern w:val="2"/>
          <w:sz w:val="32"/>
          <w:szCs w:val="32"/>
        </w:rPr>
        <w:t>负责药品、医疗器械、化妆品安全监督管理。实施药品和医疗器械标准，分类管理制度。负责药品零售使用和医疗器械经营的许可（备案）、检查和处罚，以及化妆品经营监督和药品、医疗器械使用环节质量的检查、处罚。负责药品、化妆品不良反应和医疗器械不良事件监测和报告的管理工作。负责疫苗配送、存储质量管理。依法承担药品、医疗器械、化妆品安全应急管理工作。</w:t>
      </w:r>
    </w:p>
    <w:p w14:paraId="15E98DA1">
      <w:pPr>
        <w:pStyle w:val="4"/>
        <w:widowControl/>
        <w:spacing w:before="0" w:beforeAutospacing="0" w:after="0" w:afterAutospacing="0" w:line="560" w:lineRule="exact"/>
        <w:ind w:firstLine="672"/>
        <w:rPr>
          <w:rFonts w:ascii="??_GB2312" w:hAnsi="??_GB2312" w:cs="??_GB2312"/>
          <w:kern w:val="2"/>
          <w:sz w:val="32"/>
          <w:szCs w:val="32"/>
        </w:rPr>
      </w:pPr>
      <w:r>
        <w:rPr>
          <w:rFonts w:ascii="??_GB2312" w:hAnsi="??_GB2312" w:cs="??_GB2312"/>
          <w:kern w:val="2"/>
          <w:sz w:val="32"/>
          <w:szCs w:val="32"/>
        </w:rPr>
        <w:t>5.</w:t>
      </w:r>
      <w:r>
        <w:rPr>
          <w:rFonts w:hint="eastAsia" w:ascii="??_GB2312" w:hAnsi="??_GB2312" w:cs="宋体"/>
          <w:kern w:val="2"/>
          <w:sz w:val="32"/>
          <w:szCs w:val="32"/>
        </w:rPr>
        <w:t>负责宏观质量管理。拟定并组织实施质量发展的制度措施。会同有关部门组织实施重大工程设备质量监理制度。参与重大质量事故调查。实施缺陷产品召回制度。监督管理产品防伪工作。</w:t>
      </w:r>
    </w:p>
    <w:p w14:paraId="013F92BA">
      <w:pPr>
        <w:pStyle w:val="4"/>
        <w:widowControl/>
        <w:spacing w:before="0" w:beforeAutospacing="0" w:after="0" w:afterAutospacing="0" w:line="560" w:lineRule="exact"/>
        <w:ind w:firstLine="672"/>
        <w:rPr>
          <w:rFonts w:ascii="??_GB2312" w:hAnsi="??_GB2312" w:cs="??_GB2312"/>
          <w:kern w:val="2"/>
          <w:sz w:val="32"/>
          <w:szCs w:val="32"/>
        </w:rPr>
      </w:pPr>
      <w:r>
        <w:rPr>
          <w:rFonts w:ascii="??_GB2312" w:hAnsi="??_GB2312" w:cs="??_GB2312"/>
          <w:kern w:val="2"/>
          <w:sz w:val="32"/>
          <w:szCs w:val="32"/>
        </w:rPr>
        <w:t>6.</w:t>
      </w:r>
      <w:r>
        <w:rPr>
          <w:rFonts w:hint="eastAsia" w:ascii="??_GB2312" w:hAnsi="??_GB2312" w:cs="宋体"/>
          <w:kern w:val="2"/>
          <w:sz w:val="32"/>
          <w:szCs w:val="32"/>
        </w:rPr>
        <w:t>负责产品质量安全监督管理。组织实施产品质量安全风险监控，承担产品质量监督抽查相关工作。负责产品质量安全应急体系建设，组织实施产品质量安全事件应急处置和调查处理工作。组织实施质量分级制度、质量安全追溯制度。负责工业产品生产许可管理。负责纤维质量监督工作。</w:t>
      </w:r>
    </w:p>
    <w:p w14:paraId="4DAE6F77">
      <w:pPr>
        <w:pStyle w:val="4"/>
        <w:widowControl/>
        <w:spacing w:before="0" w:beforeAutospacing="0" w:after="0" w:afterAutospacing="0" w:line="560" w:lineRule="exact"/>
        <w:ind w:firstLine="672"/>
        <w:rPr>
          <w:rFonts w:ascii="??_GB2312" w:hAnsi="??_GB2312" w:cs="??_GB2312"/>
          <w:kern w:val="2"/>
          <w:sz w:val="32"/>
          <w:szCs w:val="32"/>
        </w:rPr>
      </w:pPr>
      <w:r>
        <w:rPr>
          <w:rFonts w:ascii="??_GB2312" w:hAnsi="??_GB2312" w:cs="??_GB2312"/>
          <w:kern w:val="2"/>
          <w:sz w:val="32"/>
          <w:szCs w:val="32"/>
        </w:rPr>
        <w:t>7.</w:t>
      </w:r>
      <w:r>
        <w:rPr>
          <w:rFonts w:hint="eastAsia" w:ascii="??_GB2312" w:hAnsi="??_GB2312" w:cs="宋体"/>
          <w:kern w:val="2"/>
          <w:sz w:val="32"/>
          <w:szCs w:val="32"/>
        </w:rPr>
        <w:t>负责特种设备安全监督管理。综合管理特种设备安全监察、监督工作。负责本局管辖或市市场监管局授权、委托范围内的特种设备行政许可工作，负责特种设备生产、经营、使用、气瓶和移动式压力容器充装检验检测等监督管理，负责接受特种设备安装、改造、维修的开工告知，负责特种设备安全应急体系建设，负责特种设备事故情况核实、报告和按规定权限进行调查并依法处理。监督检查高耗能特种设备节能标准和锅炉环境保护标准的执行情况。负责重大活动特种设备安全保障工作。</w:t>
      </w:r>
    </w:p>
    <w:p w14:paraId="2CCBB0F3">
      <w:pPr>
        <w:pStyle w:val="4"/>
        <w:widowControl/>
        <w:spacing w:before="0" w:beforeAutospacing="0" w:after="0" w:afterAutospacing="0" w:line="560" w:lineRule="exact"/>
        <w:ind w:firstLine="672"/>
        <w:rPr>
          <w:rFonts w:ascii="??_GB2312" w:hAnsi="??_GB2312" w:cs="??_GB2312"/>
          <w:kern w:val="2"/>
          <w:sz w:val="32"/>
          <w:szCs w:val="32"/>
        </w:rPr>
      </w:pPr>
      <w:r>
        <w:rPr>
          <w:rFonts w:ascii="??_GB2312" w:hAnsi="??_GB2312" w:cs="??_GB2312"/>
          <w:kern w:val="2"/>
          <w:sz w:val="32"/>
          <w:szCs w:val="32"/>
        </w:rPr>
        <w:t>8.</w:t>
      </w:r>
      <w:r>
        <w:rPr>
          <w:rFonts w:hint="eastAsia" w:ascii="??_GB2312" w:hAnsi="??_GB2312" w:cs="宋体"/>
          <w:kern w:val="2"/>
          <w:sz w:val="32"/>
          <w:szCs w:val="32"/>
        </w:rPr>
        <w:t>负责市场主体统一登记注册。依法或根据国家市场监管总局、市市场监管局授权，开展各类企业、农民专业合作社和从事经营活动的单位、个体工商户以及外国（地区）企业常驻代表机构等市场主体的登记注册工作。承担市场主体统一社会信用代码工作。</w:t>
      </w:r>
    </w:p>
    <w:p w14:paraId="38455B15">
      <w:pPr>
        <w:pStyle w:val="4"/>
        <w:widowControl/>
        <w:spacing w:before="0" w:beforeAutospacing="0" w:after="0" w:afterAutospacing="0" w:line="560" w:lineRule="exact"/>
        <w:ind w:firstLine="672"/>
        <w:rPr>
          <w:rFonts w:ascii="??_GB2312" w:hAnsi="??_GB2312" w:cs="??_GB2312"/>
          <w:kern w:val="2"/>
          <w:sz w:val="32"/>
          <w:szCs w:val="32"/>
        </w:rPr>
      </w:pPr>
      <w:r>
        <w:rPr>
          <w:rFonts w:ascii="??_GB2312" w:hAnsi="??_GB2312" w:cs="??_GB2312"/>
          <w:kern w:val="2"/>
          <w:sz w:val="32"/>
          <w:szCs w:val="32"/>
        </w:rPr>
        <w:t>9.</w:t>
      </w:r>
      <w:r>
        <w:rPr>
          <w:rFonts w:hint="eastAsia" w:ascii="??_GB2312" w:hAnsi="??_GB2312" w:cs="宋体"/>
          <w:kern w:val="2"/>
          <w:sz w:val="32"/>
          <w:szCs w:val="32"/>
        </w:rPr>
        <w:t>负责推动市场主体信用体系建设。承担全区市场主体信用信息归集工作。建立市场主体信息公示和共享机制，依法公示和共享有关信息。建立违法失信企业名录库，推进建立对失信市场主体的联合惩戒机制和信用修复机制，加强市场主体信用监管工作。</w:t>
      </w:r>
    </w:p>
    <w:p w14:paraId="130D3772">
      <w:pPr>
        <w:pStyle w:val="4"/>
        <w:widowControl/>
        <w:spacing w:before="0" w:beforeAutospacing="0" w:after="0" w:afterAutospacing="0" w:line="560" w:lineRule="exact"/>
        <w:ind w:firstLine="672"/>
        <w:rPr>
          <w:rFonts w:ascii="??_GB2312" w:hAnsi="??_GB2312" w:cs="??_GB2312"/>
          <w:kern w:val="2"/>
          <w:sz w:val="32"/>
          <w:szCs w:val="32"/>
        </w:rPr>
      </w:pPr>
      <w:r>
        <w:rPr>
          <w:rFonts w:ascii="??_GB2312" w:hAnsi="??_GB2312" w:cs="??_GB2312"/>
          <w:kern w:val="2"/>
          <w:sz w:val="32"/>
          <w:szCs w:val="32"/>
        </w:rPr>
        <w:t>10.</w:t>
      </w:r>
      <w:r>
        <w:rPr>
          <w:rFonts w:hint="eastAsia" w:ascii="??_GB2312" w:hAnsi="??_GB2312" w:cs="宋体"/>
          <w:kern w:val="2"/>
          <w:sz w:val="32"/>
          <w:szCs w:val="32"/>
        </w:rPr>
        <w:t>负责规范和监督管理市场秩序。依法监督管理市场交易、网络商品交易及有关服务的行为。统筹推进竞争政策实施，实施公平竞争审查制度。查处价格收费违法违规、不正当竞争、违法直销、传销、侵犯商标专利知识产权和制售假冒伪劣行为。指导广告业发展，监督管理广告活动。负责合同行政监督管理。依法查处无照生产经营和相关无证生产经营行为。</w:t>
      </w:r>
    </w:p>
    <w:p w14:paraId="49904ACE">
      <w:pPr>
        <w:pStyle w:val="4"/>
        <w:widowControl/>
        <w:spacing w:before="0" w:beforeAutospacing="0" w:after="0" w:afterAutospacing="0" w:line="560" w:lineRule="exact"/>
        <w:ind w:firstLine="672"/>
        <w:rPr>
          <w:rFonts w:ascii="??_GB2312" w:hAnsi="??_GB2312" w:cs="??_GB2312"/>
          <w:kern w:val="2"/>
          <w:sz w:val="32"/>
          <w:szCs w:val="32"/>
        </w:rPr>
      </w:pPr>
      <w:r>
        <w:rPr>
          <w:rFonts w:ascii="??_GB2312" w:hAnsi="??_GB2312" w:cs="??_GB2312"/>
          <w:kern w:val="2"/>
          <w:sz w:val="32"/>
          <w:szCs w:val="32"/>
        </w:rPr>
        <w:t>11.</w:t>
      </w:r>
      <w:r>
        <w:rPr>
          <w:rFonts w:hint="eastAsia" w:ascii="??_GB2312" w:hAnsi="??_GB2312" w:cs="宋体"/>
          <w:kern w:val="2"/>
          <w:sz w:val="32"/>
          <w:szCs w:val="32"/>
        </w:rPr>
        <w:t>负责消费者权益保护工作。指导消费环境建设，组织开展消费维权工作，保护经营者、消费者合法权益。指导消费教育，引导健康消费，推动消费升级。指导区消费者权益保护委员会开展消费维权工作。</w:t>
      </w:r>
    </w:p>
    <w:p w14:paraId="0FCA3185">
      <w:pPr>
        <w:pStyle w:val="4"/>
        <w:widowControl/>
        <w:spacing w:before="0" w:beforeAutospacing="0" w:after="0" w:afterAutospacing="0" w:line="560" w:lineRule="exact"/>
        <w:ind w:firstLine="672"/>
        <w:rPr>
          <w:rFonts w:ascii="??_GB2312" w:hAnsi="??_GB2312" w:cs="??_GB2312"/>
          <w:kern w:val="2"/>
          <w:sz w:val="32"/>
          <w:szCs w:val="32"/>
        </w:rPr>
      </w:pPr>
      <w:r>
        <w:rPr>
          <w:rFonts w:ascii="??_GB2312" w:hAnsi="??_GB2312" w:cs="??_GB2312"/>
          <w:kern w:val="2"/>
          <w:sz w:val="32"/>
          <w:szCs w:val="32"/>
        </w:rPr>
        <w:t>12.</w:t>
      </w:r>
      <w:r>
        <w:rPr>
          <w:rFonts w:hint="eastAsia" w:ascii="??_GB2312" w:hAnsi="??_GB2312" w:cs="宋体"/>
          <w:kern w:val="2"/>
          <w:sz w:val="32"/>
          <w:szCs w:val="32"/>
        </w:rPr>
        <w:t>负责统一管理计量工作。推行法定计量单位和国家计量制度，依法管理计量器具及量值传递、溯源工作。依法实施计量监督检查，监督计量技术机构，规范和监督商品量、市场计量行为，负责能源计量工作和产品能效标识、水效标识的监督管理。</w:t>
      </w:r>
    </w:p>
    <w:p w14:paraId="4948F803">
      <w:pPr>
        <w:pStyle w:val="4"/>
        <w:widowControl/>
        <w:spacing w:before="0" w:beforeAutospacing="0" w:after="0" w:afterAutospacing="0" w:line="560" w:lineRule="exact"/>
        <w:ind w:firstLine="672"/>
        <w:rPr>
          <w:rFonts w:ascii="??_GB2312" w:hAnsi="??_GB2312" w:cs="??_GB2312"/>
          <w:kern w:val="2"/>
          <w:sz w:val="32"/>
          <w:szCs w:val="32"/>
        </w:rPr>
      </w:pPr>
      <w:r>
        <w:rPr>
          <w:rFonts w:ascii="??_GB2312" w:hAnsi="??_GB2312" w:cs="??_GB2312"/>
          <w:kern w:val="2"/>
          <w:sz w:val="32"/>
          <w:szCs w:val="32"/>
        </w:rPr>
        <w:t>13.</w:t>
      </w:r>
      <w:r>
        <w:rPr>
          <w:rFonts w:hint="eastAsia" w:ascii="??_GB2312" w:hAnsi="??_GB2312" w:cs="宋体"/>
          <w:kern w:val="2"/>
          <w:sz w:val="32"/>
          <w:szCs w:val="32"/>
        </w:rPr>
        <w:t>负责统一管理标准化工作。组织实施国家标准、行业标准、地方标准，负责推动团体标准、企业标准自我声明公开和监督检查。负责开展标准化试点示范项目建设，负责商品条码和标准化信息管理工作。</w:t>
      </w:r>
    </w:p>
    <w:p w14:paraId="2CE4017D">
      <w:pPr>
        <w:pStyle w:val="4"/>
        <w:widowControl/>
        <w:spacing w:before="0" w:beforeAutospacing="0" w:after="0" w:afterAutospacing="0" w:line="560" w:lineRule="exact"/>
        <w:ind w:firstLine="672"/>
        <w:rPr>
          <w:rFonts w:ascii="??_GB2312" w:hAnsi="??_GB2312" w:cs="??_GB2312"/>
          <w:kern w:val="2"/>
          <w:sz w:val="32"/>
          <w:szCs w:val="32"/>
        </w:rPr>
      </w:pPr>
      <w:r>
        <w:rPr>
          <w:rFonts w:ascii="??_GB2312" w:hAnsi="??_GB2312" w:cs="??_GB2312"/>
          <w:kern w:val="2"/>
          <w:sz w:val="32"/>
          <w:szCs w:val="32"/>
        </w:rPr>
        <w:t>14.</w:t>
      </w:r>
      <w:r>
        <w:rPr>
          <w:rFonts w:hint="eastAsia" w:ascii="??_GB2312" w:hAnsi="??_GB2312" w:cs="宋体"/>
          <w:kern w:val="2"/>
          <w:sz w:val="32"/>
          <w:szCs w:val="32"/>
        </w:rPr>
        <w:t>负责统一管理认证认可和检验检测工作。实施国家统一的认证认可和检验检测监督管理制度。对检验检测机构实施监督管理，对认证活动实施监督管理。推进检验检测机构改革，规范检验检测市场。</w:t>
      </w:r>
    </w:p>
    <w:p w14:paraId="37754663">
      <w:pPr>
        <w:pStyle w:val="4"/>
        <w:widowControl/>
        <w:spacing w:before="0" w:beforeAutospacing="0" w:after="0" w:afterAutospacing="0" w:line="560" w:lineRule="exact"/>
        <w:ind w:firstLine="672"/>
        <w:rPr>
          <w:rFonts w:ascii="??_GB2312" w:hAnsi="??_GB2312" w:cs="??_GB2312"/>
          <w:kern w:val="2"/>
          <w:sz w:val="32"/>
          <w:szCs w:val="32"/>
        </w:rPr>
      </w:pPr>
      <w:r>
        <w:rPr>
          <w:rFonts w:ascii="??_GB2312" w:hAnsi="??_GB2312" w:cs="??_GB2312"/>
          <w:kern w:val="2"/>
          <w:sz w:val="32"/>
          <w:szCs w:val="32"/>
        </w:rPr>
        <w:t>15.</w:t>
      </w:r>
      <w:r>
        <w:rPr>
          <w:rFonts w:hint="eastAsia" w:ascii="??_GB2312" w:hAnsi="??_GB2312" w:cs="宋体"/>
          <w:kern w:val="2"/>
          <w:sz w:val="32"/>
          <w:szCs w:val="32"/>
        </w:rPr>
        <w:t>负责知识产权发展与保护工作。贯彻落实国家和全市知识产权强国、强市建设的方针政策。拟定并组织实施知识产权发展规划、计划。组织实施强化知识产权创造运用保护的管理政策和措施。</w:t>
      </w:r>
    </w:p>
    <w:p w14:paraId="7ECB9554">
      <w:pPr>
        <w:pStyle w:val="4"/>
        <w:widowControl/>
        <w:spacing w:before="0" w:beforeAutospacing="0" w:after="0" w:afterAutospacing="0" w:line="560" w:lineRule="exact"/>
        <w:ind w:firstLine="672"/>
        <w:rPr>
          <w:rFonts w:ascii="??_GB2312" w:hAnsi="??_GB2312" w:cs="??_GB2312"/>
          <w:kern w:val="2"/>
          <w:sz w:val="32"/>
          <w:szCs w:val="32"/>
        </w:rPr>
      </w:pPr>
      <w:r>
        <w:rPr>
          <w:rFonts w:ascii="??_GB2312" w:hAnsi="??_GB2312" w:cs="??_GB2312"/>
          <w:kern w:val="2"/>
          <w:sz w:val="32"/>
          <w:szCs w:val="32"/>
        </w:rPr>
        <w:t>16.</w:t>
      </w:r>
      <w:r>
        <w:rPr>
          <w:rFonts w:hint="eastAsia" w:ascii="??_GB2312" w:hAnsi="??_GB2312" w:cs="宋体"/>
          <w:kern w:val="2"/>
          <w:sz w:val="32"/>
          <w:szCs w:val="32"/>
        </w:rPr>
        <w:t>负责开展市场监管综合执法工作。负责市场监管领域综合执法工作，具体执法交由相关执法队伍承担，并以部门名义统一执法。规范市场监管行政执法行为。</w:t>
      </w:r>
    </w:p>
    <w:p w14:paraId="12E5F169">
      <w:pPr>
        <w:pStyle w:val="4"/>
        <w:widowControl/>
        <w:spacing w:before="0" w:beforeAutospacing="0" w:after="0" w:afterAutospacing="0" w:line="560" w:lineRule="exact"/>
        <w:ind w:firstLine="672"/>
        <w:rPr>
          <w:rFonts w:ascii="??_GB2312" w:hAnsi="??_GB2312" w:cs="??_GB2312"/>
          <w:kern w:val="2"/>
          <w:sz w:val="32"/>
          <w:szCs w:val="32"/>
        </w:rPr>
      </w:pPr>
      <w:r>
        <w:rPr>
          <w:rFonts w:ascii="??_GB2312" w:hAnsi="??_GB2312" w:cs="??_GB2312"/>
          <w:kern w:val="2"/>
          <w:sz w:val="32"/>
          <w:szCs w:val="32"/>
        </w:rPr>
        <w:t>17.</w:t>
      </w:r>
      <w:r>
        <w:rPr>
          <w:rFonts w:hint="eastAsia" w:ascii="??_GB2312" w:hAnsi="??_GB2312" w:cs="宋体"/>
          <w:kern w:val="2"/>
          <w:sz w:val="32"/>
          <w:szCs w:val="32"/>
        </w:rPr>
        <w:t>协助指导小微企业、个体工商户、专业市场党建工作，负责机关、直属单位党建工作。</w:t>
      </w:r>
    </w:p>
    <w:p w14:paraId="08A7ED05">
      <w:pPr>
        <w:pStyle w:val="4"/>
        <w:widowControl/>
        <w:spacing w:before="0" w:beforeAutospacing="0" w:after="0" w:afterAutospacing="0" w:line="560" w:lineRule="exact"/>
        <w:ind w:firstLine="672"/>
        <w:rPr>
          <w:rFonts w:ascii="??_GB2312" w:hAnsi="??_GB2312" w:cs="??_GB2312"/>
          <w:kern w:val="2"/>
          <w:sz w:val="32"/>
          <w:szCs w:val="32"/>
        </w:rPr>
      </w:pPr>
      <w:r>
        <w:rPr>
          <w:rFonts w:ascii="??_GB2312" w:hAnsi="??_GB2312" w:cs="??_GB2312"/>
          <w:kern w:val="2"/>
          <w:sz w:val="32"/>
          <w:szCs w:val="32"/>
        </w:rPr>
        <w:t>18.</w:t>
      </w:r>
      <w:r>
        <w:rPr>
          <w:rFonts w:hint="eastAsia" w:ascii="??_GB2312" w:hAnsi="??_GB2312" w:cs="宋体"/>
          <w:kern w:val="2"/>
          <w:sz w:val="32"/>
          <w:szCs w:val="32"/>
        </w:rPr>
        <w:t>完成区委区政府交办的其他任务。</w:t>
      </w:r>
    </w:p>
    <w:p w14:paraId="3E550F07">
      <w:pPr>
        <w:pStyle w:val="4"/>
        <w:widowControl/>
        <w:spacing w:before="0" w:beforeAutospacing="0" w:after="0" w:afterAutospacing="0" w:line="560" w:lineRule="exact"/>
        <w:ind w:firstLine="640"/>
        <w:rPr>
          <w:rFonts w:ascii="??_GB2312" w:hAnsi="??_GB2312" w:cs="??_GB2312"/>
          <w:kern w:val="2"/>
          <w:sz w:val="32"/>
          <w:szCs w:val="32"/>
        </w:rPr>
      </w:pPr>
      <w:r>
        <w:rPr>
          <w:rFonts w:hint="eastAsia" w:ascii="??_GB2312" w:hAnsi="??_GB2312" w:cs="宋体"/>
          <w:kern w:val="2"/>
          <w:sz w:val="32"/>
          <w:szCs w:val="32"/>
        </w:rPr>
        <w:t>（二）单位构成情况</w:t>
      </w:r>
    </w:p>
    <w:p w14:paraId="04B93903">
      <w:pPr>
        <w:pStyle w:val="4"/>
        <w:widowControl/>
        <w:spacing w:before="0" w:beforeAutospacing="0" w:after="0" w:afterAutospacing="0" w:line="560" w:lineRule="exact"/>
        <w:ind w:firstLine="672"/>
        <w:rPr>
          <w:rFonts w:ascii="??_GB2312" w:hAnsi="??_GB2312" w:cs="??_GB2312"/>
          <w:kern w:val="2"/>
          <w:sz w:val="32"/>
          <w:szCs w:val="32"/>
        </w:rPr>
      </w:pPr>
      <w:r>
        <w:rPr>
          <w:rFonts w:hint="eastAsia" w:ascii="??_GB2312" w:hAnsi="??_GB2312" w:cs="宋体"/>
          <w:kern w:val="2"/>
          <w:sz w:val="32"/>
          <w:szCs w:val="32"/>
        </w:rPr>
        <w:t>重庆市开州区市场监督管理局（重庆市开州区知识产权局）设</w:t>
      </w:r>
      <w:r>
        <w:rPr>
          <w:rFonts w:ascii="??_GB2312" w:hAnsi="??_GB2312" w:cs="??_GB2312"/>
          <w:kern w:val="2"/>
          <w:sz w:val="32"/>
          <w:szCs w:val="32"/>
        </w:rPr>
        <w:t>22</w:t>
      </w:r>
      <w:r>
        <w:rPr>
          <w:rFonts w:hint="eastAsia" w:ascii="??_GB2312" w:hAnsi="??_GB2312" w:cs="宋体"/>
          <w:kern w:val="2"/>
          <w:sz w:val="32"/>
          <w:szCs w:val="32"/>
        </w:rPr>
        <w:t>个内设机构，设立</w:t>
      </w:r>
      <w:r>
        <w:rPr>
          <w:rFonts w:ascii="??_GB2312" w:hAnsi="??_GB2312" w:cs="??_GB2312"/>
          <w:kern w:val="2"/>
          <w:sz w:val="32"/>
          <w:szCs w:val="32"/>
        </w:rPr>
        <w:t>18</w:t>
      </w:r>
      <w:r>
        <w:rPr>
          <w:rFonts w:hint="eastAsia" w:ascii="??_GB2312" w:hAnsi="??_GB2312" w:cs="宋体"/>
          <w:kern w:val="2"/>
          <w:sz w:val="32"/>
          <w:szCs w:val="32"/>
        </w:rPr>
        <w:t>个镇乡街道市场监督管理所，为区市场监督管理局派出机构。同时有一个直属单位：重庆市开州区市场监管综合行政执法支队，一个事业法人单位：重庆市开州区消费者权益保护委员会。</w:t>
      </w:r>
    </w:p>
    <w:p w14:paraId="2F4A2605">
      <w:pPr>
        <w:pStyle w:val="4"/>
        <w:widowControl/>
        <w:spacing w:before="0" w:beforeAutospacing="0" w:after="0" w:afterAutospacing="0" w:line="560" w:lineRule="exact"/>
        <w:ind w:firstLine="640"/>
        <w:rPr>
          <w:rFonts w:ascii="??_GB2312" w:hAnsi="??_GB2312" w:cs="??_GB2312"/>
          <w:kern w:val="2"/>
          <w:sz w:val="32"/>
          <w:szCs w:val="32"/>
        </w:rPr>
      </w:pPr>
      <w:r>
        <w:rPr>
          <w:rFonts w:hint="eastAsia" w:ascii="??_GB2312" w:hAnsi="??_GB2312" w:cs="宋体"/>
          <w:kern w:val="2"/>
          <w:sz w:val="32"/>
          <w:szCs w:val="32"/>
        </w:rPr>
        <w:t>（三）本轮机构改革相关情况</w:t>
      </w:r>
    </w:p>
    <w:p w14:paraId="4A8700F5">
      <w:pPr>
        <w:pStyle w:val="4"/>
        <w:widowControl/>
        <w:spacing w:before="0" w:beforeAutospacing="0" w:after="0" w:afterAutospacing="0" w:line="560" w:lineRule="exact"/>
        <w:ind w:firstLine="640"/>
        <w:rPr>
          <w:rFonts w:ascii="??_GB2312" w:hAnsi="??_GB2312" w:cs="??_GB2312"/>
          <w:kern w:val="2"/>
          <w:sz w:val="32"/>
          <w:szCs w:val="32"/>
        </w:rPr>
      </w:pPr>
      <w:r>
        <w:rPr>
          <w:rFonts w:hint="eastAsia" w:ascii="??_GB2312" w:hAnsi="??_GB2312" w:cs="宋体"/>
          <w:kern w:val="2"/>
          <w:sz w:val="32"/>
          <w:szCs w:val="32"/>
        </w:rPr>
        <w:t>根据中共重庆市开州区委、重庆市开州区人民政府关于印发《重庆市开州区机构改革方案》的通知要求（开州委发〔</w:t>
      </w:r>
      <w:r>
        <w:rPr>
          <w:rFonts w:ascii="??_GB2312" w:hAnsi="??_GB2312" w:cs="??_GB2312"/>
          <w:kern w:val="2"/>
          <w:sz w:val="32"/>
          <w:szCs w:val="32"/>
        </w:rPr>
        <w:t>2019</w:t>
      </w:r>
      <w:r>
        <w:rPr>
          <w:rFonts w:hint="eastAsia" w:ascii="??_GB2312" w:hAnsi="??_GB2312" w:cs="宋体"/>
          <w:kern w:val="2"/>
          <w:sz w:val="32"/>
          <w:szCs w:val="32"/>
        </w:rPr>
        <w:t>〕</w:t>
      </w:r>
      <w:r>
        <w:rPr>
          <w:rFonts w:ascii="??_GB2312" w:hAnsi="??_GB2312" w:cs="??_GB2312"/>
          <w:kern w:val="2"/>
          <w:sz w:val="32"/>
          <w:szCs w:val="32"/>
        </w:rPr>
        <w:t>1</w:t>
      </w:r>
      <w:r>
        <w:rPr>
          <w:rFonts w:hint="eastAsia" w:ascii="??_GB2312" w:hAnsi="??_GB2312" w:cs="宋体"/>
          <w:kern w:val="2"/>
          <w:sz w:val="32"/>
          <w:szCs w:val="32"/>
        </w:rPr>
        <w:t>号），将市工商行政管理局开州区分局、区质量技术监督局的职责，以及市食品药品监督管理局开州区分局的食品安全监管、药品零售、医疗器械经营许可、检查和处罚，化妆品经营和药品、医疗器械使用环节质量的检查和处罚的职责，区发展和改革委员会的价格监督检查职责，区商务局的反垄断职责，区科学技术委员会的专利管理职责等整合，组建区市场监督管理局，作为区政府工作部门，加挂区知识产权局牌子。区食品安全委员会的日常工作由区市场监督管理局承担。</w:t>
      </w:r>
    </w:p>
    <w:p w14:paraId="2B1B9072">
      <w:pPr>
        <w:numPr>
          <w:ilvl w:val="0"/>
          <w:numId w:val="1"/>
        </w:numPr>
        <w:spacing w:line="600" w:lineRule="exact"/>
        <w:rPr>
          <w:rFonts w:ascii="??_GB2312" w:hAnsi="??_GB2312" w:cs="??_GB2312"/>
          <w:sz w:val="32"/>
          <w:szCs w:val="32"/>
        </w:rPr>
      </w:pPr>
      <w:r>
        <w:rPr>
          <w:rFonts w:hint="eastAsia" w:ascii="??_GB2312" w:hAnsi="??_GB2312" w:cs="宋体"/>
          <w:sz w:val="32"/>
          <w:szCs w:val="32"/>
        </w:rPr>
        <w:t>部门收支总体情况</w:t>
      </w:r>
    </w:p>
    <w:p w14:paraId="66C68413">
      <w:pPr>
        <w:numPr>
          <w:ilvl w:val="0"/>
          <w:numId w:val="2"/>
        </w:numPr>
        <w:spacing w:line="600" w:lineRule="exact"/>
        <w:ind w:firstLine="640" w:firstLineChars="200"/>
        <w:rPr>
          <w:rFonts w:ascii="??_GB2312" w:hAnsi="??_GB2312" w:cs="??_GB2312"/>
          <w:sz w:val="32"/>
          <w:szCs w:val="32"/>
        </w:rPr>
      </w:pPr>
      <w:r>
        <w:rPr>
          <w:rFonts w:hint="eastAsia" w:ascii="??_GB2312" w:hAnsi="??_GB2312" w:cs="宋体"/>
          <w:sz w:val="32"/>
          <w:szCs w:val="32"/>
        </w:rPr>
        <w:t>收入预算：</w:t>
      </w:r>
      <w:r>
        <w:rPr>
          <w:rFonts w:ascii="??_GB2312" w:hAnsi="??_GB2312" w:cs="??_GB2312"/>
          <w:sz w:val="32"/>
          <w:szCs w:val="32"/>
        </w:rPr>
        <w:t>2020</w:t>
      </w:r>
      <w:r>
        <w:rPr>
          <w:rFonts w:hint="eastAsia" w:ascii="??_GB2312" w:hAnsi="??_GB2312" w:cs="宋体"/>
          <w:sz w:val="32"/>
          <w:szCs w:val="32"/>
        </w:rPr>
        <w:t>年年初预算数</w:t>
      </w:r>
      <w:r>
        <w:rPr>
          <w:rFonts w:ascii="??_GB2312" w:hAnsi="??_GB2312" w:cs="??_GB2312"/>
          <w:sz w:val="32"/>
          <w:szCs w:val="32"/>
        </w:rPr>
        <w:t>5986.88</w:t>
      </w:r>
      <w:r>
        <w:rPr>
          <w:rFonts w:hint="eastAsia" w:ascii="??_GB2312" w:hAnsi="??_GB2312" w:cs="宋体"/>
          <w:sz w:val="32"/>
          <w:szCs w:val="32"/>
        </w:rPr>
        <w:t>万元，其中：一般公共预算拨款</w:t>
      </w:r>
      <w:r>
        <w:rPr>
          <w:rFonts w:ascii="??_GB2312" w:hAnsi="??_GB2312" w:cs="??_GB2312"/>
          <w:sz w:val="32"/>
          <w:szCs w:val="32"/>
        </w:rPr>
        <w:t>5986.88</w:t>
      </w:r>
      <w:r>
        <w:rPr>
          <w:rFonts w:hint="eastAsia" w:ascii="??_GB2312" w:hAnsi="??_GB2312" w:cs="宋体"/>
          <w:sz w:val="32"/>
          <w:szCs w:val="32"/>
        </w:rPr>
        <w:t>万元（含事业运行经费</w:t>
      </w:r>
      <w:r>
        <w:rPr>
          <w:rFonts w:ascii="??_GB2312" w:hAnsi="??_GB2312" w:cs="??_GB2312"/>
          <w:sz w:val="32"/>
          <w:szCs w:val="32"/>
        </w:rPr>
        <w:t>161.38</w:t>
      </w:r>
      <w:r>
        <w:rPr>
          <w:rFonts w:hint="eastAsia" w:ascii="??_GB2312" w:hAnsi="??_GB2312" w:cs="宋体"/>
          <w:sz w:val="32"/>
          <w:szCs w:val="32"/>
        </w:rPr>
        <w:t>万元）。</w:t>
      </w:r>
    </w:p>
    <w:p w14:paraId="2BDD6202">
      <w:pPr>
        <w:spacing w:line="600" w:lineRule="exact"/>
        <w:ind w:firstLine="640" w:firstLineChars="200"/>
        <w:rPr>
          <w:rFonts w:ascii="??_GB2312" w:hAnsi="??_GB2312" w:cs="??_GB2312"/>
          <w:sz w:val="32"/>
          <w:szCs w:val="32"/>
        </w:rPr>
      </w:pPr>
      <w:r>
        <w:rPr>
          <w:rFonts w:hint="eastAsia" w:ascii="??_GB2312" w:hAnsi="??_GB2312" w:cs="宋体"/>
          <w:sz w:val="32"/>
          <w:szCs w:val="32"/>
        </w:rPr>
        <w:t>（二）支出预算：</w:t>
      </w:r>
      <w:r>
        <w:rPr>
          <w:rFonts w:ascii="??_GB2312" w:hAnsi="??_GB2312" w:cs="??_GB2312"/>
          <w:sz w:val="32"/>
          <w:szCs w:val="32"/>
        </w:rPr>
        <w:t>2020</w:t>
      </w:r>
      <w:r>
        <w:rPr>
          <w:rFonts w:hint="eastAsia" w:ascii="??_GB2312" w:hAnsi="??_GB2312" w:cs="宋体"/>
          <w:sz w:val="32"/>
          <w:szCs w:val="32"/>
        </w:rPr>
        <w:t>年年初预算数</w:t>
      </w:r>
      <w:r>
        <w:rPr>
          <w:rFonts w:ascii="??_GB2312" w:hAnsi="??_GB2312" w:cs="??_GB2312"/>
          <w:sz w:val="32"/>
          <w:szCs w:val="32"/>
        </w:rPr>
        <w:t>5986.88</w:t>
      </w:r>
      <w:r>
        <w:rPr>
          <w:rFonts w:hint="eastAsia" w:ascii="??_GB2312" w:hAnsi="??_GB2312" w:cs="宋体"/>
          <w:sz w:val="32"/>
          <w:szCs w:val="32"/>
        </w:rPr>
        <w:t>万元，其中：一般公共服务支出预算</w:t>
      </w:r>
      <w:r>
        <w:rPr>
          <w:rFonts w:ascii="??_GB2312" w:hAnsi="??_GB2312" w:cs="??_GB2312"/>
          <w:sz w:val="32"/>
          <w:szCs w:val="32"/>
        </w:rPr>
        <w:t>4800.37</w:t>
      </w:r>
      <w:r>
        <w:rPr>
          <w:rFonts w:hint="eastAsia" w:ascii="??_GB2312" w:hAnsi="??_GB2312" w:cs="宋体"/>
          <w:sz w:val="32"/>
          <w:szCs w:val="32"/>
        </w:rPr>
        <w:t>万元，社会保障和就业支出预算</w:t>
      </w:r>
      <w:r>
        <w:rPr>
          <w:rFonts w:ascii="??_GB2312" w:hAnsi="??_GB2312" w:cs="??_GB2312"/>
          <w:sz w:val="32"/>
          <w:szCs w:val="32"/>
        </w:rPr>
        <w:t>689.45</w:t>
      </w:r>
      <w:r>
        <w:rPr>
          <w:rFonts w:hint="eastAsia" w:ascii="??_GB2312" w:hAnsi="??_GB2312" w:cs="宋体"/>
          <w:sz w:val="32"/>
          <w:szCs w:val="32"/>
        </w:rPr>
        <w:t>万元，卫生健康支出预算</w:t>
      </w:r>
      <w:r>
        <w:rPr>
          <w:rFonts w:ascii="??_GB2312" w:hAnsi="??_GB2312" w:cs="??_GB2312"/>
          <w:sz w:val="32"/>
          <w:szCs w:val="32"/>
        </w:rPr>
        <w:t>274.6</w:t>
      </w:r>
      <w:r>
        <w:rPr>
          <w:rFonts w:hint="eastAsia" w:ascii="??_GB2312" w:hAnsi="??_GB2312" w:cs="宋体"/>
          <w:sz w:val="32"/>
          <w:szCs w:val="32"/>
        </w:rPr>
        <w:t>万元，住房保障支出预算</w:t>
      </w:r>
      <w:r>
        <w:rPr>
          <w:rFonts w:ascii="??_GB2312" w:hAnsi="??_GB2312" w:cs="??_GB2312"/>
          <w:sz w:val="32"/>
          <w:szCs w:val="32"/>
        </w:rPr>
        <w:t>222.46</w:t>
      </w:r>
      <w:r>
        <w:rPr>
          <w:rFonts w:hint="eastAsia" w:ascii="??_GB2312" w:hAnsi="??_GB2312" w:cs="宋体"/>
          <w:sz w:val="32"/>
          <w:szCs w:val="32"/>
        </w:rPr>
        <w:t>万元。</w:t>
      </w:r>
    </w:p>
    <w:p w14:paraId="12B4C680">
      <w:pPr>
        <w:numPr>
          <w:ilvl w:val="0"/>
          <w:numId w:val="1"/>
        </w:numPr>
        <w:spacing w:line="600" w:lineRule="exact"/>
        <w:rPr>
          <w:rFonts w:ascii="??_GB2312" w:hAnsi="??_GB2312" w:cs="??_GB2312"/>
          <w:sz w:val="32"/>
          <w:szCs w:val="32"/>
        </w:rPr>
      </w:pPr>
      <w:r>
        <w:rPr>
          <w:rFonts w:hint="eastAsia" w:ascii="??_GB2312" w:hAnsi="??_GB2312" w:cs="宋体"/>
          <w:sz w:val="32"/>
          <w:szCs w:val="32"/>
        </w:rPr>
        <w:t>部门预算情况说明</w:t>
      </w:r>
    </w:p>
    <w:p w14:paraId="6DDB4A5F">
      <w:pPr>
        <w:spacing w:line="600" w:lineRule="exact"/>
        <w:ind w:firstLine="640" w:firstLineChars="200"/>
        <w:rPr>
          <w:rFonts w:ascii="??_GB2312" w:hAnsi="??_GB2312" w:cs="??_GB2312"/>
          <w:sz w:val="32"/>
          <w:szCs w:val="32"/>
        </w:rPr>
      </w:pPr>
      <w:r>
        <w:rPr>
          <w:rFonts w:ascii="??_GB2312" w:hAnsi="??_GB2312" w:cs="??_GB2312"/>
          <w:sz w:val="32"/>
          <w:szCs w:val="32"/>
        </w:rPr>
        <w:t>2020</w:t>
      </w:r>
      <w:r>
        <w:rPr>
          <w:rFonts w:hint="eastAsia" w:ascii="??_GB2312" w:hAnsi="??_GB2312" w:cs="宋体"/>
          <w:sz w:val="32"/>
          <w:szCs w:val="32"/>
        </w:rPr>
        <w:t>年一般公共预算财政拨款收入</w:t>
      </w:r>
      <w:r>
        <w:rPr>
          <w:rFonts w:ascii="??_GB2312" w:hAnsi="??_GB2312" w:cs="??_GB2312"/>
          <w:sz w:val="32"/>
          <w:szCs w:val="32"/>
        </w:rPr>
        <w:t>5986.88</w:t>
      </w:r>
      <w:r>
        <w:rPr>
          <w:rFonts w:hint="eastAsia" w:ascii="??_GB2312" w:hAnsi="??_GB2312" w:cs="宋体"/>
          <w:sz w:val="32"/>
          <w:szCs w:val="32"/>
        </w:rPr>
        <w:t>万元，一般公共预算财政拨款支出</w:t>
      </w:r>
      <w:r>
        <w:rPr>
          <w:rFonts w:ascii="??_GB2312" w:hAnsi="??_GB2312" w:cs="??_GB2312"/>
          <w:sz w:val="32"/>
          <w:szCs w:val="32"/>
        </w:rPr>
        <w:t>5986.88</w:t>
      </w:r>
      <w:r>
        <w:rPr>
          <w:rFonts w:hint="eastAsia" w:ascii="??_GB2312" w:hAnsi="??_GB2312" w:cs="宋体"/>
          <w:sz w:val="32"/>
          <w:szCs w:val="32"/>
        </w:rPr>
        <w:t>万元，比</w:t>
      </w:r>
      <w:r>
        <w:rPr>
          <w:rFonts w:ascii="??_GB2312" w:hAnsi="??_GB2312" w:cs="??_GB2312"/>
          <w:sz w:val="32"/>
          <w:szCs w:val="32"/>
        </w:rPr>
        <w:t>2019</w:t>
      </w:r>
      <w:r>
        <w:rPr>
          <w:rFonts w:hint="eastAsia" w:ascii="??_GB2312" w:hAnsi="??_GB2312" w:cs="宋体"/>
          <w:sz w:val="32"/>
          <w:szCs w:val="32"/>
        </w:rPr>
        <w:t>年增加</w:t>
      </w:r>
      <w:r>
        <w:rPr>
          <w:rFonts w:ascii="??_GB2312" w:hAnsi="??_GB2312" w:cs="??_GB2312"/>
          <w:sz w:val="32"/>
          <w:szCs w:val="32"/>
        </w:rPr>
        <w:t>701.67</w:t>
      </w:r>
      <w:r>
        <w:rPr>
          <w:rFonts w:hint="eastAsia" w:ascii="??_GB2312" w:hAnsi="??_GB2312" w:cs="宋体"/>
          <w:sz w:val="32"/>
          <w:szCs w:val="32"/>
        </w:rPr>
        <w:t>万元（</w:t>
      </w:r>
      <w:r>
        <w:rPr>
          <w:rFonts w:ascii="??_GB2312" w:hAnsi="??_GB2312" w:cs="??_GB2312"/>
          <w:sz w:val="32"/>
          <w:szCs w:val="32"/>
        </w:rPr>
        <w:t>2020</w:t>
      </w:r>
      <w:r>
        <w:rPr>
          <w:rFonts w:hint="eastAsia" w:ascii="??_GB2312" w:hAnsi="??_GB2312" w:cs="宋体"/>
          <w:sz w:val="32"/>
          <w:szCs w:val="32"/>
        </w:rPr>
        <w:t>年项目支出提前安排</w:t>
      </w:r>
      <w:r>
        <w:rPr>
          <w:rFonts w:ascii="??_GB2312" w:hAnsi="??_GB2312" w:cs="??_GB2312"/>
          <w:sz w:val="32"/>
          <w:szCs w:val="32"/>
        </w:rPr>
        <w:t>1095</w:t>
      </w:r>
      <w:r>
        <w:rPr>
          <w:rFonts w:hint="eastAsia" w:ascii="??_GB2312" w:hAnsi="??_GB2312" w:cs="宋体"/>
          <w:sz w:val="32"/>
          <w:szCs w:val="32"/>
        </w:rPr>
        <w:t>万元，</w:t>
      </w:r>
      <w:r>
        <w:rPr>
          <w:rFonts w:ascii="??_GB2312" w:hAnsi="??_GB2312" w:cs="??_GB2312"/>
          <w:sz w:val="32"/>
          <w:szCs w:val="32"/>
        </w:rPr>
        <w:t>2020</w:t>
      </w:r>
      <w:r>
        <w:rPr>
          <w:rFonts w:hint="eastAsia" w:ascii="??_GB2312" w:hAnsi="??_GB2312" w:cs="宋体"/>
          <w:sz w:val="32"/>
          <w:szCs w:val="32"/>
        </w:rPr>
        <w:t>年基本支出减少</w:t>
      </w:r>
      <w:r>
        <w:rPr>
          <w:rFonts w:ascii="??_GB2312" w:hAnsi="??_GB2312" w:cs="??_GB2312"/>
          <w:sz w:val="32"/>
          <w:szCs w:val="32"/>
        </w:rPr>
        <w:t>393.33</w:t>
      </w:r>
      <w:r>
        <w:rPr>
          <w:rFonts w:hint="eastAsia" w:ascii="??_GB2312" w:hAnsi="??_GB2312" w:cs="宋体"/>
          <w:sz w:val="32"/>
          <w:szCs w:val="32"/>
        </w:rPr>
        <w:t>万元）。</w:t>
      </w:r>
      <w:r>
        <w:rPr>
          <w:rFonts w:ascii="??_GB2312" w:hAnsi="??_GB2312" w:cs="??_GB2312"/>
          <w:sz w:val="32"/>
          <w:szCs w:val="32"/>
        </w:rPr>
        <w:t>2020</w:t>
      </w:r>
      <w:r>
        <w:rPr>
          <w:rFonts w:hint="eastAsia" w:ascii="??_GB2312" w:hAnsi="??_GB2312" w:cs="宋体"/>
          <w:sz w:val="32"/>
          <w:szCs w:val="32"/>
        </w:rPr>
        <w:t>年基本支出减少原因如下：</w:t>
      </w:r>
    </w:p>
    <w:p w14:paraId="69189CC4">
      <w:pPr>
        <w:spacing w:line="600" w:lineRule="exact"/>
        <w:ind w:firstLine="640" w:firstLineChars="200"/>
        <w:rPr>
          <w:rFonts w:ascii="??_GB2312" w:hAnsi="??_GB2312" w:cs="??_GB2312"/>
          <w:sz w:val="32"/>
          <w:szCs w:val="32"/>
        </w:rPr>
      </w:pPr>
      <w:r>
        <w:rPr>
          <w:rFonts w:hint="eastAsia" w:ascii="??_GB2312" w:hAnsi="??_GB2312" w:cs="宋体"/>
          <w:sz w:val="32"/>
          <w:szCs w:val="32"/>
        </w:rPr>
        <w:t>（一）</w:t>
      </w:r>
      <w:r>
        <w:rPr>
          <w:rFonts w:ascii="??_GB2312" w:hAnsi="??_GB2312" w:cs="??_GB2312"/>
          <w:sz w:val="32"/>
          <w:szCs w:val="32"/>
        </w:rPr>
        <w:t>1.</w:t>
      </w:r>
      <w:r>
        <w:rPr>
          <w:rFonts w:hint="eastAsia" w:ascii="??_GB2312" w:hAnsi="??_GB2312" w:cs="宋体"/>
          <w:sz w:val="32"/>
          <w:szCs w:val="32"/>
        </w:rPr>
        <w:t>公用定额预算核减，在水电费、物业费、培训费、办公自动化维护等方面核减；</w:t>
      </w:r>
      <w:r>
        <w:rPr>
          <w:rFonts w:ascii="??_GB2312" w:hAnsi="??_GB2312" w:cs="??_GB2312"/>
          <w:sz w:val="32"/>
          <w:szCs w:val="32"/>
        </w:rPr>
        <w:t>2.</w:t>
      </w:r>
      <w:r>
        <w:rPr>
          <w:rFonts w:hint="eastAsia" w:ascii="??_GB2312" w:hAnsi="??_GB2312" w:cs="宋体"/>
          <w:sz w:val="32"/>
          <w:szCs w:val="32"/>
        </w:rPr>
        <w:t>车辆运行维护费用核减；</w:t>
      </w:r>
      <w:r>
        <w:rPr>
          <w:rFonts w:ascii="??_GB2312" w:hAnsi="??_GB2312" w:cs="??_GB2312"/>
          <w:sz w:val="32"/>
          <w:szCs w:val="32"/>
        </w:rPr>
        <w:t>3.</w:t>
      </w:r>
      <w:r>
        <w:rPr>
          <w:rFonts w:hint="eastAsia" w:ascii="??_GB2312" w:hAnsi="??_GB2312" w:cs="宋体"/>
          <w:sz w:val="32"/>
          <w:szCs w:val="32"/>
        </w:rPr>
        <w:t>职工教育经费项目核减；</w:t>
      </w:r>
      <w:r>
        <w:rPr>
          <w:rFonts w:ascii="??_GB2312" w:hAnsi="??_GB2312" w:cs="??_GB2312"/>
          <w:sz w:val="32"/>
          <w:szCs w:val="32"/>
        </w:rPr>
        <w:t>4.</w:t>
      </w:r>
      <w:r>
        <w:rPr>
          <w:rFonts w:hint="eastAsia" w:ascii="??_GB2312" w:hAnsi="??_GB2312" w:cs="宋体"/>
          <w:sz w:val="32"/>
          <w:szCs w:val="32"/>
        </w:rPr>
        <w:t>因调出人数增加和取消缺编经费预算。</w:t>
      </w:r>
    </w:p>
    <w:p w14:paraId="1B3EF82C">
      <w:pPr>
        <w:spacing w:line="600" w:lineRule="exact"/>
        <w:ind w:firstLine="640" w:firstLineChars="200"/>
        <w:rPr>
          <w:rFonts w:ascii="??_GB2312" w:hAnsi="??_GB2312" w:cs="??_GB2312"/>
          <w:sz w:val="32"/>
          <w:szCs w:val="32"/>
        </w:rPr>
      </w:pPr>
      <w:r>
        <w:rPr>
          <w:rFonts w:hint="eastAsia" w:ascii="??_GB2312" w:hAnsi="??_GB2312" w:cs="宋体"/>
          <w:sz w:val="32"/>
          <w:szCs w:val="32"/>
        </w:rPr>
        <w:t>（二）调整公用运行经费，按基数调减。</w:t>
      </w:r>
    </w:p>
    <w:p w14:paraId="07DBF5AF">
      <w:pPr>
        <w:spacing w:line="600" w:lineRule="exact"/>
        <w:ind w:firstLine="640" w:firstLineChars="200"/>
        <w:rPr>
          <w:rFonts w:ascii="??_GB2312" w:hAnsi="??_GB2312" w:cs="??_GB2312"/>
          <w:sz w:val="32"/>
          <w:szCs w:val="32"/>
        </w:rPr>
      </w:pPr>
      <w:r>
        <w:rPr>
          <w:rFonts w:hint="eastAsia" w:ascii="??_GB2312" w:hAnsi="??_GB2312" w:cs="宋体"/>
          <w:sz w:val="32"/>
          <w:szCs w:val="32"/>
        </w:rPr>
        <w:t>（三）项目经费支出预算结构调整。</w:t>
      </w:r>
      <w:r>
        <w:rPr>
          <w:rFonts w:ascii="??_GB2312" w:hAnsi="??_GB2312" w:cs="??_GB2312"/>
          <w:sz w:val="32"/>
          <w:szCs w:val="32"/>
        </w:rPr>
        <w:t xml:space="preserve"> </w:t>
      </w:r>
    </w:p>
    <w:p w14:paraId="5216C86F">
      <w:pPr>
        <w:numPr>
          <w:ilvl w:val="0"/>
          <w:numId w:val="1"/>
        </w:numPr>
        <w:spacing w:line="600" w:lineRule="exact"/>
        <w:rPr>
          <w:rFonts w:ascii="??_GB2312" w:hAnsi="??_GB2312" w:cs="??_GB2312"/>
          <w:sz w:val="32"/>
          <w:szCs w:val="32"/>
        </w:rPr>
      </w:pPr>
      <w:r>
        <w:rPr>
          <w:rFonts w:hint="eastAsia" w:ascii="??_GB2312" w:hAnsi="??_GB2312" w:cs="宋体"/>
          <w:sz w:val="32"/>
          <w:szCs w:val="32"/>
        </w:rPr>
        <w:t>“三公”经费情况说明</w:t>
      </w:r>
    </w:p>
    <w:p w14:paraId="01660CFE">
      <w:pPr>
        <w:spacing w:line="600" w:lineRule="exact"/>
        <w:ind w:firstLine="600"/>
        <w:rPr>
          <w:rFonts w:ascii="??_GB2312" w:hAnsi="??_GB2312" w:cs="??_GB2312"/>
          <w:sz w:val="32"/>
          <w:szCs w:val="32"/>
        </w:rPr>
      </w:pPr>
      <w:r>
        <w:rPr>
          <w:rFonts w:ascii="??_GB2312" w:hAnsi="??_GB2312" w:cs="??_GB2312"/>
          <w:sz w:val="32"/>
          <w:szCs w:val="32"/>
        </w:rPr>
        <w:t>2020</w:t>
      </w:r>
      <w:r>
        <w:rPr>
          <w:rFonts w:hint="eastAsia" w:ascii="??_GB2312" w:hAnsi="??_GB2312" w:cs="宋体"/>
          <w:sz w:val="32"/>
          <w:szCs w:val="32"/>
        </w:rPr>
        <w:t>年</w:t>
      </w:r>
      <w:r>
        <w:rPr>
          <w:rFonts w:ascii="??_GB2312" w:hAnsi="??_GB2312" w:cs="??_GB2312"/>
          <w:sz w:val="32"/>
          <w:szCs w:val="32"/>
        </w:rPr>
        <w:t>“</w:t>
      </w:r>
      <w:r>
        <w:rPr>
          <w:rFonts w:hint="eastAsia" w:ascii="??_GB2312" w:hAnsi="??_GB2312" w:cs="宋体"/>
          <w:sz w:val="32"/>
          <w:szCs w:val="32"/>
        </w:rPr>
        <w:t>三公</w:t>
      </w:r>
      <w:r>
        <w:rPr>
          <w:rFonts w:ascii="??_GB2312" w:hAnsi="??_GB2312" w:cs="??_GB2312"/>
          <w:sz w:val="32"/>
          <w:szCs w:val="32"/>
        </w:rPr>
        <w:t>”</w:t>
      </w:r>
      <w:r>
        <w:rPr>
          <w:rFonts w:hint="eastAsia" w:ascii="??_GB2312" w:hAnsi="??_GB2312" w:cs="宋体"/>
          <w:sz w:val="32"/>
          <w:szCs w:val="32"/>
        </w:rPr>
        <w:t>经费预算</w:t>
      </w:r>
      <w:r>
        <w:rPr>
          <w:rFonts w:ascii="??_GB2312" w:hAnsi="??_GB2312" w:cs="??_GB2312"/>
          <w:sz w:val="32"/>
          <w:szCs w:val="32"/>
        </w:rPr>
        <w:t>122</w:t>
      </w:r>
      <w:r>
        <w:rPr>
          <w:rFonts w:hint="eastAsia" w:ascii="??_GB2312" w:hAnsi="??_GB2312" w:cs="宋体"/>
          <w:sz w:val="32"/>
          <w:szCs w:val="32"/>
        </w:rPr>
        <w:t>万元，比</w:t>
      </w:r>
      <w:r>
        <w:rPr>
          <w:rFonts w:ascii="??_GB2312" w:hAnsi="??_GB2312" w:cs="??_GB2312"/>
          <w:sz w:val="32"/>
          <w:szCs w:val="32"/>
        </w:rPr>
        <w:t>2019</w:t>
      </w:r>
      <w:r>
        <w:rPr>
          <w:rFonts w:hint="eastAsia" w:ascii="??_GB2312" w:hAnsi="??_GB2312" w:cs="宋体"/>
          <w:sz w:val="32"/>
          <w:szCs w:val="32"/>
        </w:rPr>
        <w:t>年减少</w:t>
      </w:r>
      <w:r>
        <w:rPr>
          <w:rFonts w:ascii="??_GB2312" w:hAnsi="??_GB2312" w:cs="??_GB2312"/>
          <w:sz w:val="32"/>
          <w:szCs w:val="32"/>
        </w:rPr>
        <w:t>56.96</w:t>
      </w:r>
      <w:r>
        <w:rPr>
          <w:rFonts w:hint="eastAsia" w:ascii="??_GB2312" w:hAnsi="??_GB2312" w:cs="宋体"/>
          <w:sz w:val="32"/>
          <w:szCs w:val="32"/>
        </w:rPr>
        <w:t>万元。其中：因公出国（境）费用</w:t>
      </w:r>
      <w:r>
        <w:rPr>
          <w:rFonts w:ascii="??_GB2312" w:hAnsi="??_GB2312" w:cs="??_GB2312"/>
          <w:sz w:val="32"/>
          <w:szCs w:val="32"/>
        </w:rPr>
        <w:t>0</w:t>
      </w:r>
      <w:r>
        <w:rPr>
          <w:rFonts w:hint="eastAsia" w:ascii="??_GB2312" w:hAnsi="??_GB2312" w:cs="宋体"/>
          <w:sz w:val="32"/>
          <w:szCs w:val="32"/>
        </w:rPr>
        <w:t>万元，比</w:t>
      </w:r>
      <w:r>
        <w:rPr>
          <w:rFonts w:ascii="??_GB2312" w:hAnsi="??_GB2312" w:cs="??_GB2312"/>
          <w:sz w:val="32"/>
          <w:szCs w:val="32"/>
        </w:rPr>
        <w:t>2020</w:t>
      </w:r>
      <w:r>
        <w:rPr>
          <w:rFonts w:hint="eastAsia" w:ascii="??_GB2312" w:hAnsi="??_GB2312" w:cs="宋体"/>
          <w:sz w:val="32"/>
          <w:szCs w:val="32"/>
        </w:rPr>
        <w:t>年减少</w:t>
      </w:r>
      <w:r>
        <w:rPr>
          <w:rFonts w:ascii="??_GB2312" w:hAnsi="??_GB2312" w:cs="??_GB2312"/>
          <w:sz w:val="32"/>
          <w:szCs w:val="32"/>
        </w:rPr>
        <w:t>(</w:t>
      </w:r>
      <w:r>
        <w:rPr>
          <w:rFonts w:hint="eastAsia" w:ascii="??_GB2312" w:hAnsi="??_GB2312" w:cs="宋体"/>
          <w:sz w:val="32"/>
          <w:szCs w:val="32"/>
        </w:rPr>
        <w:t>或增加</w:t>
      </w:r>
      <w:r>
        <w:rPr>
          <w:rFonts w:ascii="??_GB2312" w:hAnsi="??_GB2312" w:cs="??_GB2312"/>
          <w:sz w:val="32"/>
          <w:szCs w:val="32"/>
        </w:rPr>
        <w:t>)0</w:t>
      </w:r>
      <w:r>
        <w:rPr>
          <w:rFonts w:hint="eastAsia" w:ascii="??_GB2312" w:hAnsi="??_GB2312" w:cs="宋体"/>
          <w:sz w:val="32"/>
          <w:szCs w:val="32"/>
        </w:rPr>
        <w:t>万元；公务接待费</w:t>
      </w:r>
      <w:r>
        <w:rPr>
          <w:rFonts w:ascii="??_GB2312" w:hAnsi="??_GB2312" w:cs="??_GB2312"/>
          <w:sz w:val="32"/>
          <w:szCs w:val="32"/>
        </w:rPr>
        <w:t>5</w:t>
      </w:r>
      <w:r>
        <w:rPr>
          <w:rFonts w:hint="eastAsia" w:ascii="??_GB2312" w:hAnsi="??_GB2312" w:cs="宋体"/>
          <w:sz w:val="32"/>
          <w:szCs w:val="32"/>
        </w:rPr>
        <w:t>万元，比</w:t>
      </w:r>
      <w:r>
        <w:rPr>
          <w:rFonts w:ascii="??_GB2312" w:hAnsi="??_GB2312" w:cs="??_GB2312"/>
          <w:sz w:val="32"/>
          <w:szCs w:val="32"/>
        </w:rPr>
        <w:t>2019</w:t>
      </w:r>
      <w:r>
        <w:rPr>
          <w:rFonts w:hint="eastAsia" w:ascii="??_GB2312" w:hAnsi="??_GB2312" w:cs="宋体"/>
          <w:sz w:val="32"/>
          <w:szCs w:val="32"/>
        </w:rPr>
        <w:t>年减少</w:t>
      </w:r>
      <w:r>
        <w:rPr>
          <w:rFonts w:ascii="??_GB2312" w:hAnsi="??_GB2312" w:cs="??_GB2312"/>
          <w:sz w:val="32"/>
          <w:szCs w:val="32"/>
        </w:rPr>
        <w:t>7.5</w:t>
      </w:r>
      <w:r>
        <w:rPr>
          <w:rFonts w:hint="eastAsia" w:ascii="??_GB2312" w:hAnsi="??_GB2312" w:cs="宋体"/>
          <w:sz w:val="32"/>
          <w:szCs w:val="32"/>
        </w:rPr>
        <w:t>万元，主要原因是严格执公务接待制度，压减公务接待支出，预算减少了</w:t>
      </w:r>
      <w:r>
        <w:rPr>
          <w:rFonts w:ascii="??_GB2312" w:hAnsi="??_GB2312" w:cs="??_GB2312"/>
          <w:sz w:val="32"/>
          <w:szCs w:val="32"/>
        </w:rPr>
        <w:t>60%</w:t>
      </w:r>
      <w:r>
        <w:rPr>
          <w:rFonts w:hint="eastAsia" w:ascii="??_GB2312" w:hAnsi="??_GB2312" w:cs="宋体"/>
          <w:sz w:val="32"/>
          <w:szCs w:val="32"/>
        </w:rPr>
        <w:t>；公务用车运行维护费</w:t>
      </w:r>
      <w:r>
        <w:rPr>
          <w:rFonts w:ascii="??_GB2312" w:hAnsi="??_GB2312" w:cs="??_GB2312"/>
          <w:sz w:val="32"/>
          <w:szCs w:val="32"/>
        </w:rPr>
        <w:t>117</w:t>
      </w:r>
      <w:r>
        <w:rPr>
          <w:rFonts w:hint="eastAsia" w:ascii="??_GB2312" w:hAnsi="??_GB2312" w:cs="宋体"/>
          <w:sz w:val="32"/>
          <w:szCs w:val="32"/>
        </w:rPr>
        <w:t>万元，比</w:t>
      </w:r>
      <w:r>
        <w:rPr>
          <w:rFonts w:ascii="??_GB2312" w:hAnsi="??_GB2312" w:cs="??_GB2312"/>
          <w:sz w:val="32"/>
          <w:szCs w:val="32"/>
        </w:rPr>
        <w:t>2019</w:t>
      </w:r>
      <w:r>
        <w:rPr>
          <w:rFonts w:hint="eastAsia" w:ascii="??_GB2312" w:hAnsi="??_GB2312" w:cs="宋体"/>
          <w:sz w:val="32"/>
          <w:szCs w:val="32"/>
        </w:rPr>
        <w:t>年减少</w:t>
      </w:r>
      <w:r>
        <w:rPr>
          <w:rFonts w:ascii="??_GB2312" w:hAnsi="??_GB2312" w:cs="??_GB2312"/>
          <w:sz w:val="32"/>
          <w:szCs w:val="32"/>
        </w:rPr>
        <w:t>44.46</w:t>
      </w:r>
      <w:r>
        <w:rPr>
          <w:rFonts w:hint="eastAsia" w:ascii="??_GB2312" w:hAnsi="??_GB2312" w:cs="宋体"/>
          <w:sz w:val="32"/>
          <w:szCs w:val="32"/>
        </w:rPr>
        <w:t>万元，主要原因是压减公务用车运行维护费支出，预算减少了</w:t>
      </w:r>
      <w:r>
        <w:rPr>
          <w:rFonts w:ascii="??_GB2312" w:hAnsi="??_GB2312" w:cs="??_GB2312"/>
          <w:sz w:val="32"/>
          <w:szCs w:val="32"/>
        </w:rPr>
        <w:t>27.5%</w:t>
      </w:r>
      <w:r>
        <w:rPr>
          <w:rFonts w:hint="eastAsia" w:ascii="??_GB2312" w:hAnsi="??_GB2312" w:cs="宋体"/>
          <w:sz w:val="32"/>
          <w:szCs w:val="32"/>
        </w:rPr>
        <w:t>；公务用车购置费</w:t>
      </w:r>
      <w:r>
        <w:rPr>
          <w:rFonts w:ascii="??_GB2312" w:hAnsi="??_GB2312" w:cs="??_GB2312"/>
          <w:sz w:val="32"/>
          <w:szCs w:val="32"/>
        </w:rPr>
        <w:t>0</w:t>
      </w:r>
      <w:r>
        <w:rPr>
          <w:rFonts w:hint="eastAsia" w:ascii="??_GB2312" w:hAnsi="??_GB2312" w:cs="宋体"/>
          <w:sz w:val="32"/>
          <w:szCs w:val="32"/>
        </w:rPr>
        <w:t>万元，比</w:t>
      </w:r>
      <w:r>
        <w:rPr>
          <w:rFonts w:ascii="??_GB2312" w:hAnsi="??_GB2312" w:cs="??_GB2312"/>
          <w:sz w:val="32"/>
          <w:szCs w:val="32"/>
        </w:rPr>
        <w:t>2019</w:t>
      </w:r>
      <w:r>
        <w:rPr>
          <w:rFonts w:hint="eastAsia" w:ascii="??_GB2312" w:hAnsi="??_GB2312" w:cs="宋体"/>
          <w:sz w:val="32"/>
          <w:szCs w:val="32"/>
        </w:rPr>
        <w:t>年减少</w:t>
      </w:r>
      <w:r>
        <w:rPr>
          <w:rFonts w:ascii="??_GB2312" w:hAnsi="??_GB2312" w:cs="??_GB2312"/>
          <w:sz w:val="32"/>
          <w:szCs w:val="32"/>
        </w:rPr>
        <w:t>(</w:t>
      </w:r>
      <w:r>
        <w:rPr>
          <w:rFonts w:hint="eastAsia" w:ascii="??_GB2312" w:hAnsi="??_GB2312" w:cs="宋体"/>
          <w:sz w:val="32"/>
          <w:szCs w:val="32"/>
        </w:rPr>
        <w:t>或增加</w:t>
      </w:r>
      <w:r>
        <w:rPr>
          <w:rFonts w:ascii="??_GB2312" w:hAnsi="??_GB2312" w:cs="??_GB2312"/>
          <w:sz w:val="32"/>
          <w:szCs w:val="32"/>
        </w:rPr>
        <w:t>)0</w:t>
      </w:r>
      <w:r>
        <w:rPr>
          <w:rFonts w:hint="eastAsia" w:ascii="??_GB2312" w:hAnsi="??_GB2312" w:cs="宋体"/>
          <w:sz w:val="32"/>
          <w:szCs w:val="32"/>
        </w:rPr>
        <w:t>万元；主要原因是去年是市级财政统配，今年没有安排公务用车购置预算。</w:t>
      </w:r>
    </w:p>
    <w:p w14:paraId="458A6A9A">
      <w:pPr>
        <w:numPr>
          <w:ilvl w:val="0"/>
          <w:numId w:val="1"/>
        </w:numPr>
        <w:spacing w:line="600" w:lineRule="exact"/>
        <w:rPr>
          <w:rFonts w:ascii="??_GB2312" w:hAnsi="??_GB2312" w:cs="??_GB2312"/>
          <w:sz w:val="32"/>
          <w:szCs w:val="32"/>
        </w:rPr>
      </w:pPr>
      <w:r>
        <w:rPr>
          <w:rFonts w:hint="eastAsia" w:ascii="??_GB2312" w:hAnsi="??_GB2312" w:cs="宋体"/>
          <w:sz w:val="32"/>
          <w:szCs w:val="32"/>
        </w:rPr>
        <w:t>其他重要事项的情况说明</w:t>
      </w:r>
    </w:p>
    <w:p w14:paraId="05C5FB0B">
      <w:pPr>
        <w:ind w:firstLine="640" w:firstLineChars="200"/>
        <w:rPr>
          <w:rFonts w:ascii="??_GB2312" w:hAnsi="??_GB2312" w:cs="??_GB2312"/>
          <w:sz w:val="32"/>
          <w:szCs w:val="32"/>
        </w:rPr>
      </w:pPr>
      <w:r>
        <w:rPr>
          <w:rFonts w:ascii="??_GB2312" w:hAnsi="??_GB2312" w:cs="??_GB2312"/>
          <w:sz w:val="32"/>
          <w:szCs w:val="32"/>
        </w:rPr>
        <w:t>1</w:t>
      </w:r>
      <w:r>
        <w:rPr>
          <w:rFonts w:hint="eastAsia" w:ascii="??_GB2312" w:hAnsi="??_GB2312" w:cs="宋体"/>
          <w:sz w:val="32"/>
          <w:szCs w:val="32"/>
        </w:rPr>
        <w:t>、机关运行经费。</w:t>
      </w:r>
      <w:r>
        <w:rPr>
          <w:rFonts w:ascii="??_GB2312" w:hAnsi="??_GB2312" w:cs="??_GB2312"/>
          <w:sz w:val="32"/>
          <w:szCs w:val="32"/>
        </w:rPr>
        <w:t>2020</w:t>
      </w:r>
      <w:r>
        <w:rPr>
          <w:rFonts w:hint="eastAsia" w:ascii="??_GB2312" w:hAnsi="??_GB2312" w:cs="宋体"/>
          <w:sz w:val="32"/>
          <w:szCs w:val="32"/>
        </w:rPr>
        <w:t>年一般公共预算财政拨款运行经费</w:t>
      </w:r>
      <w:r>
        <w:rPr>
          <w:rFonts w:ascii="??_GB2312" w:hAnsi="??_GB2312" w:cs="??_GB2312"/>
          <w:sz w:val="32"/>
          <w:szCs w:val="32"/>
        </w:rPr>
        <w:t>963.73</w:t>
      </w:r>
      <w:r>
        <w:rPr>
          <w:rFonts w:hint="eastAsia" w:ascii="??_GB2312" w:hAnsi="??_GB2312" w:cs="宋体"/>
          <w:sz w:val="32"/>
          <w:szCs w:val="32"/>
        </w:rPr>
        <w:t>万元，比上年减少</w:t>
      </w:r>
      <w:r>
        <w:rPr>
          <w:rFonts w:ascii="??_GB2312" w:hAnsi="??_GB2312" w:cs="??_GB2312"/>
          <w:sz w:val="32"/>
          <w:szCs w:val="32"/>
        </w:rPr>
        <w:t xml:space="preserve">499.22 </w:t>
      </w:r>
      <w:r>
        <w:rPr>
          <w:rFonts w:hint="eastAsia" w:ascii="??_GB2312" w:hAnsi="??_GB2312" w:cs="宋体"/>
          <w:sz w:val="32"/>
          <w:szCs w:val="32"/>
        </w:rPr>
        <w:t>万元，主要原因公用定额减少办公费、印刷费、邮电费、水电费、物管费、差旅费、会议费、培训费及其他商品和服务支出等。</w:t>
      </w:r>
    </w:p>
    <w:p w14:paraId="3579F91A">
      <w:pPr>
        <w:ind w:firstLine="640" w:firstLineChars="200"/>
        <w:rPr>
          <w:rFonts w:ascii="??_GB2312" w:hAnsi="??_GB2312" w:cs="??_GB2312"/>
          <w:sz w:val="32"/>
          <w:szCs w:val="32"/>
        </w:rPr>
      </w:pPr>
      <w:r>
        <w:rPr>
          <w:rFonts w:ascii="??_GB2312" w:hAnsi="??_GB2312" w:cs="??_GB2312"/>
          <w:sz w:val="32"/>
          <w:szCs w:val="32"/>
        </w:rPr>
        <w:t>2</w:t>
      </w:r>
      <w:r>
        <w:rPr>
          <w:rFonts w:hint="eastAsia" w:ascii="??_GB2312" w:hAnsi="??_GB2312" w:cs="宋体"/>
          <w:sz w:val="32"/>
          <w:szCs w:val="32"/>
        </w:rPr>
        <w:t>、政府采购情况。所属各预算单位政府采购预算总额</w:t>
      </w:r>
      <w:r>
        <w:rPr>
          <w:rFonts w:ascii="??_GB2312" w:hAnsi="??_GB2312" w:cs="??_GB2312"/>
          <w:sz w:val="32"/>
          <w:szCs w:val="32"/>
        </w:rPr>
        <w:t xml:space="preserve">  0</w:t>
      </w:r>
      <w:r>
        <w:rPr>
          <w:rFonts w:hint="eastAsia" w:ascii="??_GB2312" w:hAnsi="??_GB2312" w:cs="宋体"/>
          <w:sz w:val="32"/>
          <w:szCs w:val="32"/>
        </w:rPr>
        <w:t>万元：政府采购货物预算</w:t>
      </w:r>
      <w:r>
        <w:rPr>
          <w:rFonts w:ascii="??_GB2312" w:hAnsi="??_GB2312" w:cs="??_GB2312"/>
          <w:sz w:val="32"/>
          <w:szCs w:val="32"/>
        </w:rPr>
        <w:t>0</w:t>
      </w:r>
      <w:r>
        <w:rPr>
          <w:rFonts w:hint="eastAsia" w:ascii="??_GB2312" w:hAnsi="??_GB2312" w:cs="宋体"/>
          <w:sz w:val="32"/>
          <w:szCs w:val="32"/>
        </w:rPr>
        <w:t>万元、政府采购工程预算</w:t>
      </w:r>
      <w:r>
        <w:rPr>
          <w:rFonts w:ascii="??_GB2312" w:hAnsi="??_GB2312" w:cs="??_GB2312"/>
          <w:sz w:val="32"/>
          <w:szCs w:val="32"/>
        </w:rPr>
        <w:t>0</w:t>
      </w:r>
      <w:r>
        <w:rPr>
          <w:rFonts w:hint="eastAsia" w:ascii="??_GB2312" w:hAnsi="??_GB2312" w:cs="宋体"/>
          <w:sz w:val="32"/>
          <w:szCs w:val="32"/>
        </w:rPr>
        <w:t>万元、政府采购服务预算</w:t>
      </w:r>
      <w:r>
        <w:rPr>
          <w:rFonts w:ascii="??_GB2312" w:hAnsi="??_GB2312" w:cs="??_GB2312"/>
          <w:sz w:val="32"/>
          <w:szCs w:val="32"/>
        </w:rPr>
        <w:t>0</w:t>
      </w:r>
      <w:r>
        <w:rPr>
          <w:rFonts w:hint="eastAsia" w:ascii="??_GB2312" w:hAnsi="??_GB2312" w:cs="宋体"/>
          <w:sz w:val="32"/>
          <w:szCs w:val="32"/>
        </w:rPr>
        <w:t>万元；其中一般公共预算拨款政府采购</w:t>
      </w:r>
      <w:r>
        <w:rPr>
          <w:rFonts w:ascii="??_GB2312" w:hAnsi="??_GB2312" w:cs="??_GB2312"/>
          <w:sz w:val="32"/>
          <w:szCs w:val="32"/>
        </w:rPr>
        <w:t xml:space="preserve">  </w:t>
      </w:r>
      <w:r>
        <w:rPr>
          <w:rFonts w:hint="eastAsia" w:ascii="??_GB2312" w:hAnsi="??_GB2312" w:cs="宋体"/>
          <w:sz w:val="32"/>
          <w:szCs w:val="32"/>
        </w:rPr>
        <w:t>万元：政府采购货物预算</w:t>
      </w:r>
      <w:r>
        <w:rPr>
          <w:rFonts w:ascii="??_GB2312" w:hAnsi="??_GB2312" w:cs="??_GB2312"/>
          <w:sz w:val="32"/>
          <w:szCs w:val="32"/>
        </w:rPr>
        <w:t>0</w:t>
      </w:r>
      <w:r>
        <w:rPr>
          <w:rFonts w:hint="eastAsia" w:ascii="??_GB2312" w:hAnsi="??_GB2312" w:cs="宋体"/>
          <w:sz w:val="32"/>
          <w:szCs w:val="32"/>
        </w:rPr>
        <w:t>万元、政府采购工程预算</w:t>
      </w:r>
      <w:r>
        <w:rPr>
          <w:rFonts w:ascii="??_GB2312" w:hAnsi="??_GB2312" w:cs="??_GB2312"/>
          <w:sz w:val="32"/>
          <w:szCs w:val="32"/>
        </w:rPr>
        <w:t>0</w:t>
      </w:r>
      <w:r>
        <w:rPr>
          <w:rFonts w:hint="eastAsia" w:ascii="??_GB2312" w:hAnsi="??_GB2312" w:cs="宋体"/>
          <w:sz w:val="32"/>
          <w:szCs w:val="32"/>
        </w:rPr>
        <w:t>万元、政府采购服务预算</w:t>
      </w:r>
      <w:r>
        <w:rPr>
          <w:rFonts w:ascii="??_GB2312" w:hAnsi="??_GB2312" w:cs="??_GB2312"/>
          <w:sz w:val="32"/>
          <w:szCs w:val="32"/>
        </w:rPr>
        <w:t>0</w:t>
      </w:r>
      <w:r>
        <w:rPr>
          <w:rFonts w:hint="eastAsia" w:ascii="??_GB2312" w:hAnsi="??_GB2312" w:cs="宋体"/>
          <w:sz w:val="32"/>
          <w:szCs w:val="32"/>
        </w:rPr>
        <w:t>万元。</w:t>
      </w:r>
    </w:p>
    <w:p w14:paraId="0729FB13">
      <w:pPr>
        <w:ind w:firstLine="640" w:firstLineChars="200"/>
        <w:rPr>
          <w:rFonts w:ascii="??_GB2312" w:hAnsi="??_GB2312" w:cs="??_GB2312"/>
          <w:sz w:val="32"/>
          <w:szCs w:val="32"/>
        </w:rPr>
      </w:pPr>
      <w:r>
        <w:rPr>
          <w:rFonts w:ascii="??_GB2312" w:hAnsi="??_GB2312" w:cs="??_GB2312"/>
          <w:sz w:val="32"/>
          <w:szCs w:val="32"/>
        </w:rPr>
        <w:t>3</w:t>
      </w:r>
      <w:r>
        <w:rPr>
          <w:rFonts w:hint="eastAsia" w:ascii="??_GB2312" w:hAnsi="??_GB2312" w:cs="宋体"/>
          <w:sz w:val="32"/>
          <w:szCs w:val="32"/>
        </w:rPr>
        <w:t>、绩效目标设置情况。</w:t>
      </w:r>
      <w:r>
        <w:rPr>
          <w:rFonts w:ascii="??_GB2312" w:hAnsi="??_GB2312" w:cs="??_GB2312"/>
          <w:sz w:val="32"/>
          <w:szCs w:val="32"/>
        </w:rPr>
        <w:t>2020</w:t>
      </w:r>
      <w:r>
        <w:rPr>
          <w:rFonts w:hint="eastAsia" w:ascii="??_GB2312" w:hAnsi="??_GB2312" w:cs="宋体"/>
          <w:sz w:val="32"/>
          <w:szCs w:val="32"/>
        </w:rPr>
        <w:t>年项目支出均实行了绩效目标管理，涉及一般公共预算当年财政拨</w:t>
      </w:r>
      <w:r>
        <w:rPr>
          <w:rFonts w:hint="eastAsia" w:ascii="??_GB2312" w:hAnsi="??_GB2312" w:cs="宋体"/>
          <w:sz w:val="32"/>
          <w:szCs w:val="32"/>
          <w:lang w:val="en-US" w:eastAsia="zh-CN"/>
        </w:rPr>
        <w:t>款</w:t>
      </w:r>
      <w:r>
        <w:rPr>
          <w:rFonts w:ascii="??_GB2312" w:hAnsi="??_GB2312" w:cs="??_GB2312"/>
          <w:sz w:val="32"/>
          <w:szCs w:val="32"/>
        </w:rPr>
        <w:t>1095</w:t>
      </w:r>
      <w:r>
        <w:rPr>
          <w:rFonts w:hint="eastAsia" w:ascii="??_GB2312" w:hAnsi="??_GB2312" w:cs="宋体"/>
          <w:sz w:val="32"/>
          <w:szCs w:val="32"/>
        </w:rPr>
        <w:t>万元。</w:t>
      </w:r>
    </w:p>
    <w:p w14:paraId="3BC519D4">
      <w:pPr>
        <w:ind w:firstLine="640" w:firstLineChars="200"/>
        <w:rPr>
          <w:rFonts w:ascii="??_GB2312" w:hAnsi="??_GB2312" w:cs="??_GB2312"/>
          <w:sz w:val="32"/>
          <w:szCs w:val="32"/>
        </w:rPr>
      </w:pPr>
      <w:r>
        <w:rPr>
          <w:rFonts w:ascii="??_GB2312" w:hAnsi="??_GB2312" w:cs="??_GB2312"/>
          <w:sz w:val="32"/>
          <w:szCs w:val="32"/>
        </w:rPr>
        <w:t>4</w:t>
      </w:r>
      <w:r>
        <w:rPr>
          <w:rFonts w:hint="eastAsia" w:ascii="??_GB2312" w:hAnsi="??_GB2312" w:cs="宋体"/>
          <w:sz w:val="32"/>
          <w:szCs w:val="32"/>
        </w:rPr>
        <w:t>、国有资产占有使用情况。</w:t>
      </w:r>
      <w:r>
        <w:rPr>
          <w:rFonts w:hint="eastAsia" w:ascii="??_GB2312" w:hAnsi="??_GB2312" w:cs="宋体"/>
          <w:sz w:val="32"/>
          <w:szCs w:val="32"/>
          <w:lang w:val="en-US" w:eastAsia="zh-CN"/>
        </w:rPr>
        <w:t>截至</w:t>
      </w:r>
      <w:bookmarkStart w:id="0" w:name="_GoBack"/>
      <w:bookmarkEnd w:id="0"/>
      <w:r>
        <w:rPr>
          <w:rFonts w:ascii="??_GB2312" w:hAnsi="??_GB2312" w:cs="??_GB2312"/>
          <w:sz w:val="32"/>
          <w:szCs w:val="32"/>
        </w:rPr>
        <w:t>2019</w:t>
      </w:r>
      <w:r>
        <w:rPr>
          <w:rFonts w:hint="eastAsia" w:ascii="??_GB2312" w:hAnsi="??_GB2312" w:cs="宋体"/>
          <w:sz w:val="32"/>
          <w:szCs w:val="32"/>
        </w:rPr>
        <w:t>年</w:t>
      </w:r>
      <w:r>
        <w:rPr>
          <w:rFonts w:ascii="??_GB2312" w:hAnsi="??_GB2312" w:cs="??_GB2312"/>
          <w:sz w:val="32"/>
          <w:szCs w:val="32"/>
        </w:rPr>
        <w:t>12</w:t>
      </w:r>
      <w:r>
        <w:rPr>
          <w:rFonts w:hint="eastAsia" w:ascii="??_GB2312" w:hAnsi="??_GB2312" w:cs="宋体"/>
          <w:sz w:val="32"/>
          <w:szCs w:val="32"/>
        </w:rPr>
        <w:t>月，所属各预算单位共有车辆</w:t>
      </w:r>
      <w:r>
        <w:rPr>
          <w:rFonts w:ascii="??_GB2312" w:hAnsi="??_GB2312" w:cs="??_GB2312"/>
          <w:sz w:val="32"/>
          <w:szCs w:val="32"/>
        </w:rPr>
        <w:t>39</w:t>
      </w:r>
      <w:r>
        <w:rPr>
          <w:rFonts w:hint="eastAsia" w:ascii="??_GB2312" w:hAnsi="??_GB2312" w:cs="宋体"/>
          <w:sz w:val="32"/>
          <w:szCs w:val="32"/>
        </w:rPr>
        <w:t>辆，其中一般公务用车</w:t>
      </w:r>
      <w:r>
        <w:rPr>
          <w:rFonts w:ascii="??_GB2312" w:hAnsi="??_GB2312" w:cs="??_GB2312"/>
          <w:sz w:val="32"/>
          <w:szCs w:val="32"/>
        </w:rPr>
        <w:t>3</w:t>
      </w:r>
      <w:r>
        <w:rPr>
          <w:rFonts w:hint="eastAsia" w:ascii="??_GB2312" w:hAnsi="??_GB2312" w:cs="宋体"/>
          <w:sz w:val="32"/>
          <w:szCs w:val="32"/>
        </w:rPr>
        <w:t>辆、执勤执法用车</w:t>
      </w:r>
      <w:r>
        <w:rPr>
          <w:rFonts w:ascii="??_GB2312" w:hAnsi="??_GB2312" w:cs="??_GB2312"/>
          <w:sz w:val="32"/>
          <w:szCs w:val="32"/>
        </w:rPr>
        <w:t>36</w:t>
      </w:r>
      <w:r>
        <w:rPr>
          <w:rFonts w:hint="eastAsia" w:ascii="??_GB2312" w:hAnsi="??_GB2312" w:cs="宋体"/>
          <w:sz w:val="32"/>
          <w:szCs w:val="32"/>
        </w:rPr>
        <w:t>辆。</w:t>
      </w:r>
    </w:p>
    <w:p w14:paraId="2812A4B0">
      <w:pPr>
        <w:numPr>
          <w:ilvl w:val="0"/>
          <w:numId w:val="1"/>
        </w:numPr>
        <w:spacing w:line="600" w:lineRule="exact"/>
        <w:rPr>
          <w:rFonts w:ascii="??_GB2312" w:hAnsi="??_GB2312" w:cs="??_GB2312"/>
          <w:sz w:val="32"/>
          <w:szCs w:val="32"/>
        </w:rPr>
      </w:pPr>
      <w:r>
        <w:rPr>
          <w:rFonts w:hint="eastAsia" w:ascii="??_GB2312" w:hAnsi="??_GB2312" w:cs="宋体"/>
          <w:sz w:val="32"/>
          <w:szCs w:val="32"/>
        </w:rPr>
        <w:t>专业性名词解释（纳入向社会公开范围的部门必须</w:t>
      </w:r>
    </w:p>
    <w:p w14:paraId="6F915785">
      <w:pPr>
        <w:spacing w:line="600" w:lineRule="exact"/>
        <w:rPr>
          <w:rFonts w:ascii="??_GB2312" w:hAnsi="??_GB2312" w:cs="??_GB2312"/>
          <w:sz w:val="32"/>
          <w:szCs w:val="32"/>
        </w:rPr>
      </w:pPr>
      <w:r>
        <w:rPr>
          <w:rFonts w:hint="eastAsia" w:ascii="??_GB2312" w:hAnsi="??_GB2312" w:cs="宋体"/>
          <w:sz w:val="32"/>
          <w:szCs w:val="32"/>
        </w:rPr>
        <w:t>填写！）</w:t>
      </w:r>
    </w:p>
    <w:p w14:paraId="59E113D8">
      <w:pPr>
        <w:pStyle w:val="4"/>
        <w:widowControl/>
        <w:spacing w:before="0" w:beforeAutospacing="0" w:after="0" w:afterAutospacing="0" w:line="560" w:lineRule="exact"/>
        <w:ind w:firstLine="640"/>
        <w:rPr>
          <w:rFonts w:ascii="??_GB2312" w:hAnsi="??_GB2312" w:cs="??_GB2312"/>
          <w:kern w:val="2"/>
          <w:sz w:val="32"/>
          <w:szCs w:val="32"/>
        </w:rPr>
      </w:pPr>
      <w:r>
        <w:rPr>
          <w:rFonts w:hint="eastAsia" w:ascii="??_GB2312" w:hAnsi="??_GB2312" w:cs="宋体"/>
          <w:kern w:val="2"/>
          <w:sz w:val="32"/>
          <w:szCs w:val="32"/>
        </w:rPr>
        <w:t>（一）财政拨款收入：指本年度从本级财政部门取得的财政拨款，包括一般公共预算财政拨款和政府性基金预算财政拨款。</w:t>
      </w:r>
    </w:p>
    <w:p w14:paraId="0D7BBD7A">
      <w:pPr>
        <w:pStyle w:val="4"/>
        <w:widowControl/>
        <w:spacing w:before="0" w:beforeAutospacing="0" w:after="0" w:afterAutospacing="0" w:line="560" w:lineRule="exact"/>
        <w:ind w:firstLine="640"/>
        <w:rPr>
          <w:rFonts w:ascii="??_GB2312" w:hAnsi="??_GB2312" w:cs="??_GB2312"/>
          <w:kern w:val="2"/>
          <w:sz w:val="32"/>
          <w:szCs w:val="32"/>
        </w:rPr>
      </w:pPr>
      <w:r>
        <w:rPr>
          <w:rFonts w:hint="eastAsia" w:ascii="??_GB2312" w:hAnsi="??_GB2312" w:cs="宋体"/>
          <w:kern w:val="2"/>
          <w:sz w:val="32"/>
          <w:szCs w:val="32"/>
        </w:rPr>
        <w:t>（二）其他收入：指单位取得的除“财政拨款收入”、“事业收入”、“经营收入”等以外的收入。</w:t>
      </w:r>
    </w:p>
    <w:p w14:paraId="439F5FC7">
      <w:pPr>
        <w:pStyle w:val="4"/>
        <w:widowControl/>
        <w:spacing w:before="0" w:beforeAutospacing="0" w:after="0" w:afterAutospacing="0" w:line="560" w:lineRule="exact"/>
        <w:ind w:firstLine="640"/>
        <w:rPr>
          <w:rFonts w:ascii="??_GB2312" w:hAnsi="??_GB2312" w:cs="??_GB2312"/>
          <w:kern w:val="2"/>
          <w:sz w:val="32"/>
          <w:szCs w:val="32"/>
        </w:rPr>
      </w:pPr>
      <w:r>
        <w:rPr>
          <w:rFonts w:hint="eastAsia" w:ascii="??_GB2312" w:hAnsi="??_GB2312" w:cs="宋体"/>
          <w:kern w:val="2"/>
          <w:sz w:val="32"/>
          <w:szCs w:val="32"/>
        </w:rPr>
        <w:t>（三）基本支出：指为保障机构正常运转，完成日常工作任务而发生的人员经费和公用经费。</w:t>
      </w:r>
    </w:p>
    <w:p w14:paraId="5F70A19C">
      <w:pPr>
        <w:pStyle w:val="4"/>
        <w:widowControl/>
        <w:spacing w:before="0" w:beforeAutospacing="0" w:after="0" w:afterAutospacing="0" w:line="560" w:lineRule="exact"/>
        <w:ind w:firstLine="640"/>
        <w:rPr>
          <w:rFonts w:ascii="??_GB2312" w:hAnsi="??_GB2312" w:cs="??_GB2312"/>
          <w:kern w:val="2"/>
          <w:sz w:val="32"/>
          <w:szCs w:val="32"/>
        </w:rPr>
      </w:pPr>
      <w:r>
        <w:rPr>
          <w:rFonts w:hint="eastAsia" w:ascii="??_GB2312" w:hAnsi="??_GB2312" w:cs="宋体"/>
          <w:kern w:val="2"/>
          <w:sz w:val="32"/>
          <w:szCs w:val="32"/>
        </w:rPr>
        <w:t>（四）项目支出：指在基本支出之外为完成特定行政任务和事业发展目标所发生的支出。</w:t>
      </w:r>
    </w:p>
    <w:p w14:paraId="3614FEBF">
      <w:pPr>
        <w:pStyle w:val="4"/>
        <w:widowControl/>
        <w:spacing w:before="0" w:beforeAutospacing="0" w:after="0" w:afterAutospacing="0" w:line="560" w:lineRule="exact"/>
        <w:ind w:firstLine="640"/>
        <w:rPr>
          <w:rFonts w:ascii="??_GB2312" w:hAnsi="??_GB2312" w:cs="??_GB2312"/>
          <w:kern w:val="2"/>
          <w:sz w:val="32"/>
          <w:szCs w:val="32"/>
        </w:rPr>
      </w:pPr>
      <w:r>
        <w:rPr>
          <w:rFonts w:hint="eastAsia" w:ascii="??_GB2312" w:hAnsi="??_GB2312" w:cs="宋体"/>
          <w:kern w:val="2"/>
          <w:sz w:val="32"/>
          <w:szCs w:val="32"/>
        </w:rPr>
        <w:t>（五）行政运行：为保障行政单位（包含参照公务员法管理的事业单位）运行用于购买货物和服务的各项资金。包括办公及办公费、水费、电费、印刷费、邮电费、差旅费、会议费等费用开支。</w:t>
      </w:r>
    </w:p>
    <w:p w14:paraId="30D2DB56">
      <w:pPr>
        <w:pStyle w:val="4"/>
        <w:widowControl/>
        <w:spacing w:before="0" w:beforeAutospacing="0" w:after="0" w:afterAutospacing="0" w:line="560" w:lineRule="exact"/>
        <w:ind w:firstLine="640"/>
        <w:rPr>
          <w:rFonts w:ascii="??_GB2312" w:hAnsi="??_GB2312" w:cs="??_GB2312"/>
          <w:kern w:val="2"/>
          <w:sz w:val="32"/>
          <w:szCs w:val="32"/>
        </w:rPr>
      </w:pPr>
      <w:r>
        <w:rPr>
          <w:rFonts w:hint="eastAsia" w:ascii="??_GB2312" w:hAnsi="??_GB2312" w:cs="宋体"/>
          <w:kern w:val="2"/>
          <w:sz w:val="32"/>
          <w:szCs w:val="32"/>
        </w:rPr>
        <w:t>（六）事业运行：指反映事业单位（包括实行公务员管理的事业单位）开支的基本支出。</w:t>
      </w:r>
    </w:p>
    <w:p w14:paraId="02562088">
      <w:pPr>
        <w:pStyle w:val="4"/>
        <w:widowControl/>
        <w:spacing w:before="0" w:beforeAutospacing="0" w:after="0" w:afterAutospacing="0" w:line="560" w:lineRule="exact"/>
        <w:ind w:firstLine="640"/>
        <w:rPr>
          <w:rFonts w:ascii="??_GB2312" w:hAnsi="??_GB2312" w:cs="??_GB2312"/>
          <w:kern w:val="2"/>
          <w:sz w:val="32"/>
          <w:szCs w:val="32"/>
        </w:rPr>
      </w:pPr>
      <w:r>
        <w:rPr>
          <w:rFonts w:ascii="??_GB2312" w:hAnsi="??_GB2312" w:cs="??_GB2312"/>
          <w:kern w:val="2"/>
          <w:sz w:val="32"/>
          <w:szCs w:val="32"/>
        </w:rPr>
        <w:t xml:space="preserve"> (</w:t>
      </w:r>
      <w:r>
        <w:rPr>
          <w:rFonts w:hint="eastAsia" w:ascii="??_GB2312" w:hAnsi="??_GB2312" w:cs="宋体"/>
          <w:kern w:val="2"/>
          <w:sz w:val="32"/>
          <w:szCs w:val="32"/>
        </w:rPr>
        <w:t>七</w:t>
      </w:r>
      <w:r>
        <w:rPr>
          <w:rFonts w:ascii="??_GB2312" w:hAnsi="??_GB2312" w:cs="??_GB2312"/>
          <w:kern w:val="2"/>
          <w:sz w:val="32"/>
          <w:szCs w:val="32"/>
        </w:rPr>
        <w:t>)</w:t>
      </w:r>
      <w:r>
        <w:rPr>
          <w:rFonts w:hint="eastAsia" w:ascii="??_GB2312" w:hAnsi="??_GB2312" w:cs="宋体"/>
          <w:kern w:val="2"/>
          <w:sz w:val="32"/>
          <w:szCs w:val="32"/>
        </w:rPr>
        <w:t>市场主体管理：指市场监管部门服务各类市场主体发展、开展各类综合监管和各类专项执法监管工作。</w:t>
      </w:r>
    </w:p>
    <w:p w14:paraId="568355EC">
      <w:pPr>
        <w:pStyle w:val="4"/>
        <w:widowControl/>
        <w:spacing w:before="0" w:beforeAutospacing="0" w:after="0" w:afterAutospacing="0" w:line="560" w:lineRule="exact"/>
        <w:ind w:firstLine="640"/>
        <w:rPr>
          <w:rFonts w:ascii="??_GB2312" w:hAnsi="??_GB2312" w:cs="??_GB2312"/>
          <w:kern w:val="2"/>
          <w:sz w:val="32"/>
          <w:szCs w:val="32"/>
        </w:rPr>
      </w:pPr>
      <w:r>
        <w:rPr>
          <w:rFonts w:hint="eastAsia" w:ascii="??_GB2312" w:hAnsi="??_GB2312" w:cs="宋体"/>
          <w:kern w:val="2"/>
          <w:sz w:val="32"/>
          <w:szCs w:val="32"/>
        </w:rPr>
        <w:t>（八）市场秩序执法：反映市场监管部门开展各类执法活动、查处各类经济违法行为的专项工作。</w:t>
      </w:r>
    </w:p>
    <w:p w14:paraId="1074EA32">
      <w:pPr>
        <w:pStyle w:val="4"/>
        <w:widowControl/>
        <w:spacing w:before="0" w:beforeAutospacing="0" w:after="0" w:afterAutospacing="0" w:line="560" w:lineRule="exact"/>
        <w:ind w:firstLine="640"/>
        <w:rPr>
          <w:rFonts w:ascii="??_GB2312" w:hAnsi="??_GB2312" w:cs="??_GB2312"/>
          <w:kern w:val="2"/>
          <w:sz w:val="32"/>
          <w:szCs w:val="32"/>
        </w:rPr>
      </w:pPr>
      <w:r>
        <w:rPr>
          <w:rFonts w:hint="eastAsia" w:ascii="??_GB2312" w:hAnsi="??_GB2312" w:cs="宋体"/>
          <w:kern w:val="2"/>
          <w:sz w:val="32"/>
          <w:szCs w:val="32"/>
        </w:rPr>
        <w:t>（九）机关事业单位基本养老保险缴费支出</w:t>
      </w:r>
      <w:r>
        <w:rPr>
          <w:rFonts w:ascii="??_GB2312" w:hAnsi="??_GB2312" w:cs="??_GB2312"/>
          <w:kern w:val="2"/>
          <w:sz w:val="32"/>
          <w:szCs w:val="32"/>
        </w:rPr>
        <w:t xml:space="preserve">: </w:t>
      </w:r>
      <w:r>
        <w:rPr>
          <w:rFonts w:hint="eastAsia" w:ascii="??_GB2312" w:hAnsi="??_GB2312" w:cs="宋体"/>
          <w:kern w:val="2"/>
          <w:sz w:val="32"/>
          <w:szCs w:val="32"/>
        </w:rPr>
        <w:t>指机关事业单位实施养老保险制度由单位缴纳的基本养老保险支出。</w:t>
      </w:r>
    </w:p>
    <w:p w14:paraId="57D311E5">
      <w:pPr>
        <w:pStyle w:val="4"/>
        <w:widowControl/>
        <w:spacing w:before="0" w:beforeAutospacing="0" w:after="0" w:afterAutospacing="0" w:line="560" w:lineRule="exact"/>
        <w:ind w:firstLine="640"/>
        <w:rPr>
          <w:rFonts w:ascii="??_GB2312" w:hAnsi="??_GB2312" w:cs="??_GB2312"/>
          <w:kern w:val="2"/>
          <w:sz w:val="32"/>
          <w:szCs w:val="32"/>
        </w:rPr>
      </w:pPr>
      <w:r>
        <w:rPr>
          <w:rFonts w:hint="eastAsia" w:ascii="??_GB2312" w:hAnsi="??_GB2312" w:cs="宋体"/>
          <w:kern w:val="2"/>
          <w:sz w:val="32"/>
          <w:szCs w:val="32"/>
        </w:rPr>
        <w:t>（十）住房公积金：指行政事业单位按人力资源和社会保障部、财政部规定的基本工资和津贴补贴以及按规定比例为职工缴纳的住房公积金。</w:t>
      </w:r>
    </w:p>
    <w:p w14:paraId="46F251BC">
      <w:pPr>
        <w:pStyle w:val="4"/>
        <w:widowControl/>
        <w:spacing w:before="0" w:beforeAutospacing="0" w:after="0" w:afterAutospacing="0" w:line="560" w:lineRule="exact"/>
        <w:ind w:firstLine="640"/>
        <w:rPr>
          <w:rFonts w:ascii="??_GB2312" w:hAnsi="??_GB2312" w:cs="??_GB2312"/>
          <w:kern w:val="2"/>
          <w:sz w:val="32"/>
          <w:szCs w:val="32"/>
        </w:rPr>
      </w:pPr>
      <w:r>
        <w:rPr>
          <w:rFonts w:hint="eastAsia" w:ascii="??_GB2312" w:hAnsi="??_GB2312" w:cs="宋体"/>
          <w:kern w:val="2"/>
          <w:sz w:val="32"/>
          <w:szCs w:val="32"/>
        </w:rPr>
        <w:t>（十一）“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0B87AA2B">
      <w:pPr>
        <w:ind w:firstLine="640" w:firstLineChars="200"/>
        <w:rPr>
          <w:rFonts w:ascii="??_GB2312" w:hAnsi="??_GB2312" w:cs="??_GB2312"/>
          <w:sz w:val="32"/>
          <w:szCs w:val="32"/>
        </w:rPr>
      </w:pPr>
    </w:p>
    <w:p w14:paraId="119D1D52">
      <w:pPr>
        <w:ind w:firstLine="640" w:firstLineChars="200"/>
        <w:rPr>
          <w:rFonts w:ascii="??_GB2312" w:hAnsi="??_GB2312" w:cs="??_GB2312"/>
          <w:sz w:val="32"/>
          <w:szCs w:val="32"/>
        </w:rPr>
      </w:pPr>
      <w:r>
        <w:rPr>
          <w:rFonts w:hint="eastAsia" w:ascii="??_GB2312" w:hAnsi="??_GB2312" w:cs="宋体"/>
          <w:sz w:val="32"/>
          <w:szCs w:val="32"/>
        </w:rPr>
        <w:t>部门预算公开联系人：</w:t>
      </w:r>
      <w:r>
        <w:rPr>
          <w:rFonts w:ascii="??_GB2312" w:hAnsi="??_GB2312" w:cs="??_GB2312"/>
          <w:sz w:val="32"/>
          <w:szCs w:val="32"/>
        </w:rPr>
        <w:t xml:space="preserve"> </w:t>
      </w:r>
      <w:r>
        <w:rPr>
          <w:rFonts w:hint="eastAsia" w:ascii="??_GB2312" w:hAnsi="??_GB2312" w:cs="宋体"/>
          <w:sz w:val="32"/>
          <w:szCs w:val="32"/>
        </w:rPr>
        <w:t>朱华侨</w:t>
      </w:r>
    </w:p>
    <w:p w14:paraId="601F3662">
      <w:pPr>
        <w:ind w:firstLine="2240" w:firstLineChars="700"/>
        <w:rPr>
          <w:rFonts w:ascii="??_GB2312" w:hAnsi="??_GB2312" w:cs="??_GB2312"/>
          <w:sz w:val="32"/>
          <w:szCs w:val="32"/>
        </w:rPr>
      </w:pPr>
      <w:r>
        <w:rPr>
          <w:rFonts w:hint="eastAsia" w:ascii="??_GB2312" w:hAnsi="??_GB2312" w:cs="宋体"/>
          <w:sz w:val="32"/>
          <w:szCs w:val="32"/>
        </w:rPr>
        <w:t>联系方式：</w:t>
      </w:r>
      <w:r>
        <w:rPr>
          <w:rFonts w:ascii="??_GB2312" w:hAnsi="??_GB2312" w:cs="??_GB2312"/>
          <w:sz w:val="32"/>
          <w:szCs w:val="32"/>
        </w:rPr>
        <w:t>023-52298180</w:t>
      </w:r>
    </w:p>
    <w:p w14:paraId="1DEEC00D">
      <w:pPr>
        <w:rPr>
          <w:rFonts w:ascii="??_GB2312" w:hAnsi="??_GB2312" w:cs="??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_GB2312">
    <w:altName w:val="Times New Roman"/>
    <w:panose1 w:val="00000000000000000000"/>
    <w:charset w:val="00"/>
    <w:family w:val="auto"/>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7CC2D1"/>
    <w:multiLevelType w:val="singleLevel"/>
    <w:tmpl w:val="687CC2D1"/>
    <w:lvl w:ilvl="0" w:tentative="0">
      <w:start w:val="1"/>
      <w:numFmt w:val="chineseCounting"/>
      <w:suff w:val="nothing"/>
      <w:lvlText w:val="（%1）"/>
      <w:lvlJc w:val="left"/>
      <w:rPr>
        <w:rFonts w:hint="eastAsia"/>
      </w:rPr>
    </w:lvl>
  </w:abstractNum>
  <w:abstractNum w:abstractNumId="1">
    <w:nsid w:val="6BD354DE"/>
    <w:multiLevelType w:val="multilevel"/>
    <w:tmpl w:val="6BD354DE"/>
    <w:lvl w:ilvl="0" w:tentative="0">
      <w:start w:val="2"/>
      <w:numFmt w:val="japaneseCounting"/>
      <w:lvlText w:val="%1、"/>
      <w:lvlJc w:val="left"/>
      <w:pPr>
        <w:ind w:left="1360" w:hanging="720"/>
      </w:pPr>
      <w:rPr>
        <w:rFonts w:hint="default" w:ascii="??_GB2312" w:hAnsi="??_GB2312" w:eastAsia="宋体"/>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13B21"/>
    <w:rsid w:val="00016671"/>
    <w:rsid w:val="00021707"/>
    <w:rsid w:val="0002339A"/>
    <w:rsid w:val="00056F69"/>
    <w:rsid w:val="000D7E06"/>
    <w:rsid w:val="000F40E2"/>
    <w:rsid w:val="001C3C0D"/>
    <w:rsid w:val="001D024C"/>
    <w:rsid w:val="00210831"/>
    <w:rsid w:val="0026114F"/>
    <w:rsid w:val="00270013"/>
    <w:rsid w:val="002A0644"/>
    <w:rsid w:val="002B72E2"/>
    <w:rsid w:val="002C7C60"/>
    <w:rsid w:val="003712A9"/>
    <w:rsid w:val="00416A2B"/>
    <w:rsid w:val="00466DF9"/>
    <w:rsid w:val="00496761"/>
    <w:rsid w:val="004B5F90"/>
    <w:rsid w:val="00571DDB"/>
    <w:rsid w:val="00581AD3"/>
    <w:rsid w:val="006248B9"/>
    <w:rsid w:val="00633877"/>
    <w:rsid w:val="00665C60"/>
    <w:rsid w:val="00671EBC"/>
    <w:rsid w:val="006C3ED4"/>
    <w:rsid w:val="006E5A6E"/>
    <w:rsid w:val="00725A28"/>
    <w:rsid w:val="0079013E"/>
    <w:rsid w:val="007C1F45"/>
    <w:rsid w:val="008110AF"/>
    <w:rsid w:val="008157A7"/>
    <w:rsid w:val="00883EE8"/>
    <w:rsid w:val="008A190A"/>
    <w:rsid w:val="008A216F"/>
    <w:rsid w:val="008D6CC2"/>
    <w:rsid w:val="00946611"/>
    <w:rsid w:val="009C0898"/>
    <w:rsid w:val="009D101F"/>
    <w:rsid w:val="00A03E12"/>
    <w:rsid w:val="00A802AE"/>
    <w:rsid w:val="00AB149C"/>
    <w:rsid w:val="00AB3394"/>
    <w:rsid w:val="00AB6A20"/>
    <w:rsid w:val="00AF0E67"/>
    <w:rsid w:val="00AF554A"/>
    <w:rsid w:val="00B13217"/>
    <w:rsid w:val="00B13B21"/>
    <w:rsid w:val="00B41C07"/>
    <w:rsid w:val="00B8066D"/>
    <w:rsid w:val="00B92613"/>
    <w:rsid w:val="00BE34D1"/>
    <w:rsid w:val="00C54C54"/>
    <w:rsid w:val="00C90DCD"/>
    <w:rsid w:val="00CC44AD"/>
    <w:rsid w:val="00D67C05"/>
    <w:rsid w:val="00D76941"/>
    <w:rsid w:val="00D80675"/>
    <w:rsid w:val="00DA6838"/>
    <w:rsid w:val="00DB7B06"/>
    <w:rsid w:val="00DD25D9"/>
    <w:rsid w:val="00DE12FC"/>
    <w:rsid w:val="00DE68A8"/>
    <w:rsid w:val="00E04BDF"/>
    <w:rsid w:val="00E07F22"/>
    <w:rsid w:val="00E15CA1"/>
    <w:rsid w:val="00E20EE2"/>
    <w:rsid w:val="00F227A9"/>
    <w:rsid w:val="00F56B6A"/>
    <w:rsid w:val="00F61231"/>
    <w:rsid w:val="00F7105C"/>
    <w:rsid w:val="00F97A51"/>
    <w:rsid w:val="00FA7F07"/>
    <w:rsid w:val="00FE58D2"/>
    <w:rsid w:val="00FF1D02"/>
    <w:rsid w:val="00FF569A"/>
    <w:rsid w:val="048B5037"/>
    <w:rsid w:val="06F42F04"/>
    <w:rsid w:val="0FB82FA1"/>
    <w:rsid w:val="1C5164C3"/>
    <w:rsid w:val="26A24087"/>
    <w:rsid w:val="61F372C6"/>
    <w:rsid w:val="6338213B"/>
    <w:rsid w:val="6B6B1AD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iPriority w:val="99"/>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jc w:val="left"/>
    </w:pPr>
    <w:rPr>
      <w:sz w:val="18"/>
      <w:szCs w:val="18"/>
    </w:rPr>
  </w:style>
  <w:style w:type="paragraph" w:styleId="3">
    <w:name w:val="header"/>
    <w:basedOn w:val="1"/>
    <w:link w:val="9"/>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spacing w:before="100" w:beforeAutospacing="1" w:after="100" w:afterAutospacing="1"/>
      <w:jc w:val="left"/>
    </w:pPr>
    <w:rPr>
      <w:rFonts w:ascii="Calibri" w:hAnsi="Calibri" w:cs="Calibri"/>
      <w:kern w:val="0"/>
      <w:sz w:val="24"/>
      <w:szCs w:val="24"/>
    </w:rPr>
  </w:style>
  <w:style w:type="character" w:styleId="7">
    <w:name w:val="Strong"/>
    <w:basedOn w:val="6"/>
    <w:qFormat/>
    <w:uiPriority w:val="99"/>
    <w:rPr>
      <w:b/>
      <w:bCs/>
    </w:rPr>
  </w:style>
  <w:style w:type="character" w:customStyle="1" w:styleId="8">
    <w:name w:val="Footer Char"/>
    <w:basedOn w:val="6"/>
    <w:link w:val="2"/>
    <w:locked/>
    <w:uiPriority w:val="99"/>
    <w:rPr>
      <w:kern w:val="2"/>
      <w:sz w:val="18"/>
      <w:szCs w:val="18"/>
    </w:rPr>
  </w:style>
  <w:style w:type="character" w:customStyle="1" w:styleId="9">
    <w:name w:val="Header Char"/>
    <w:basedOn w:val="6"/>
    <w:link w:val="3"/>
    <w:qFormat/>
    <w:locked/>
    <w:uiPriority w:val="99"/>
    <w:rPr>
      <w:kern w:val="2"/>
      <w:sz w:val="18"/>
      <w:szCs w:val="18"/>
    </w:rPr>
  </w:style>
  <w:style w:type="paragraph" w:customStyle="1"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wimxt.com</Company>
  <Pages>9</Pages>
  <Words>4171</Words>
  <Characters>4375</Characters>
  <Lines>0</Lines>
  <Paragraphs>0</Paragraphs>
  <TotalTime>0</TotalTime>
  <ScaleCrop>false</ScaleCrop>
  <LinksUpToDate>false</LinksUpToDate>
  <CharactersWithSpaces>4385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2020-05-26T03:20:00Z</dcterms:created>
  <dc:creator>wimxt.com</dc:creator>
  <cp:lastModifiedBy>伍崇兴</cp:lastModifiedBy>
  <dcterms:modified xsi:type="dcterms:W3CDTF">2026-07-07T02:46:05Z</dcterms:modified>
  <dc:title>重庆市开州区市场监督管理局</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eyJoZGlkIjoiN2I3NjVkZWVjYWQ0Y2NjNTM1YzU3YjRjMWY5MDRjNDIiLCJ1c2VySWQiOiIxNjc3ODQxMDQxIn0=</vt:lpwstr>
  </property>
  <property fmtid="{D5CDD505-2E9C-101B-9397-08002B2CF9AE}" pid="4" name="ICV">
    <vt:lpwstr>AFC105EE52C24FC18D9E677C676EAF01_12</vt:lpwstr>
  </property>
</Properties>
</file>