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widowControl w:val="0"/>
        <w:kinsoku/>
        <w:autoSpaceDE/>
        <w:autoSpaceDN/>
        <w:adjustRightInd/>
        <w:snapToGrid/>
        <w:spacing w:line="240" w:lineRule="auto"/>
        <w:jc w:val="center"/>
        <w:textAlignment w:val="auto"/>
        <w:rPr>
          <w:rFonts w:hint="eastAsia" w:ascii="Times New Roman" w:hAnsi="Times New Roman" w:eastAsia="方正小标宋_GBK" w:cs="Times New Roman"/>
          <w:b/>
          <w:bCs w:val="0"/>
          <w:snapToGrid/>
          <w:color w:val="FF0000"/>
          <w:w w:val="58"/>
          <w:kern w:val="2"/>
          <w:sz w:val="130"/>
          <w:szCs w:val="130"/>
          <w:lang w:eastAsia="zh-CN"/>
        </w:rPr>
      </w:pPr>
      <w:r>
        <w:rPr>
          <w:rFonts w:hint="eastAsia" w:ascii="Times New Roman" w:hAnsi="Times New Roman" w:eastAsia="方正小标宋_GBK" w:cs="Times New Roman"/>
          <w:b/>
          <w:bCs w:val="0"/>
          <w:snapToGrid/>
          <w:color w:val="FF0000"/>
          <w:w w:val="58"/>
          <w:kern w:val="2"/>
          <w:sz w:val="130"/>
          <w:szCs w:val="130"/>
          <w:lang w:eastAsia="zh-CN"/>
        </w:rPr>
        <w:t>重庆市开州区财政局文件</w:t>
      </w:r>
    </w:p>
    <w:p>
      <w:pPr>
        <w:spacing w:line="470" w:lineRule="auto"/>
        <w:rPr>
          <w:rFonts w:ascii="Arial"/>
          <w:sz w:val="21"/>
        </w:rPr>
      </w:pPr>
    </w:p>
    <w:p>
      <w:pPr>
        <w:pStyle w:val="4"/>
        <w:spacing w:line="560" w:lineRule="exact"/>
        <w:jc w:val="center"/>
        <w:rPr>
          <w:rFonts w:ascii="Arial"/>
          <w:sz w:val="21"/>
        </w:rPr>
      </w:pPr>
      <w:r>
        <w:rPr>
          <w:rFonts w:hint="eastAsia" w:ascii="方正仿宋_GBK" w:eastAsia="方正仿宋_GBK" w:cs="Times New Roman"/>
          <w:szCs w:val="32"/>
          <w:lang w:eastAsia="zh-CN"/>
        </w:rPr>
        <w:t>开州财建发〔2024〕45号</w:t>
      </w:r>
    </w:p>
    <w:p>
      <w:pPr>
        <w:spacing w:line="60" w:lineRule="exact"/>
        <w:ind w:firstLine="69"/>
      </w:pPr>
      <w:r>
        <w:rPr>
          <w:position w:val="-1"/>
        </w:rPr>
        <w:drawing>
          <wp:inline distT="0" distB="0" distL="0" distR="0">
            <wp:extent cx="5645150" cy="38100"/>
            <wp:effectExtent l="0" t="0" r="0" b="0"/>
            <wp:docPr id="2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 2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645158" cy="381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86" w:lineRule="auto"/>
        <w:rPr>
          <w:rFonts w:ascii="Arial"/>
          <w:sz w:val="21"/>
        </w:rPr>
      </w:pPr>
    </w:p>
    <w:p>
      <w:pPr>
        <w:spacing w:line="286" w:lineRule="auto"/>
        <w:rPr>
          <w:rFonts w:ascii="Arial"/>
          <w:sz w:val="21"/>
        </w:rPr>
      </w:pPr>
    </w:p>
    <w:p>
      <w:pPr>
        <w:spacing w:line="286" w:lineRule="auto"/>
        <w:rPr>
          <w:rFonts w:ascii="Arial"/>
          <w:sz w:val="21"/>
        </w:rPr>
      </w:pPr>
    </w:p>
    <w:p>
      <w:pPr>
        <w:widowControl w:val="0"/>
        <w:kinsoku/>
        <w:autoSpaceDE/>
        <w:autoSpaceDN/>
        <w:adjustRightInd/>
        <w:snapToGrid/>
        <w:spacing w:line="58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napToGrid/>
          <w:kern w:val="2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napToGrid/>
          <w:kern w:val="2"/>
          <w:sz w:val="44"/>
          <w:szCs w:val="44"/>
          <w:lang w:val="en-US" w:eastAsia="zh-CN"/>
        </w:rPr>
        <w:t>重庆市开州区财政局</w:t>
      </w:r>
    </w:p>
    <w:p>
      <w:pPr>
        <w:widowControl w:val="0"/>
        <w:kinsoku/>
        <w:autoSpaceDE/>
        <w:autoSpaceDN/>
        <w:adjustRightInd/>
        <w:snapToGrid/>
        <w:spacing w:line="58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napToGrid/>
          <w:kern w:val="2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napToGrid/>
          <w:kern w:val="2"/>
          <w:sz w:val="44"/>
          <w:szCs w:val="44"/>
          <w:lang w:val="en-US" w:eastAsia="zh-CN"/>
        </w:rPr>
        <w:t>关于下达2024年农村危房改造</w:t>
      </w:r>
    </w:p>
    <w:p>
      <w:pPr>
        <w:widowControl w:val="0"/>
        <w:kinsoku/>
        <w:autoSpaceDE/>
        <w:autoSpaceDN/>
        <w:adjustRightInd/>
        <w:snapToGrid/>
        <w:spacing w:line="58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napToGrid/>
          <w:kern w:val="2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napToGrid/>
          <w:kern w:val="2"/>
          <w:sz w:val="44"/>
          <w:szCs w:val="44"/>
          <w:lang w:val="en-US" w:eastAsia="zh-CN"/>
        </w:rPr>
        <w:t>补助资金预算的通知</w:t>
      </w:r>
    </w:p>
    <w:p>
      <w:pPr>
        <w:spacing w:line="294" w:lineRule="auto"/>
        <w:rPr>
          <w:rFonts w:ascii="Arial"/>
          <w:sz w:val="21"/>
        </w:rPr>
      </w:pPr>
    </w:p>
    <w:p>
      <w:pPr>
        <w:spacing w:line="294" w:lineRule="auto"/>
        <w:rPr>
          <w:rFonts w:ascii="Arial"/>
          <w:sz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方正仿宋_GBK" w:hAnsi="Times New Roman" w:eastAsia="方正仿宋_GBK" w:cs="方正小标宋_GBK"/>
          <w:bCs/>
          <w:snapToGrid/>
          <w:kern w:val="2"/>
          <w:sz w:val="32"/>
          <w:szCs w:val="32"/>
          <w:lang w:eastAsia="zh-CN"/>
        </w:rPr>
      </w:pPr>
      <w:r>
        <w:rPr>
          <w:rFonts w:hint="eastAsia" w:ascii="方正仿宋_GBK" w:hAnsi="Times New Roman" w:eastAsia="方正仿宋_GBK" w:cs="方正小标宋_GBK"/>
          <w:bCs/>
          <w:snapToGrid/>
          <w:kern w:val="2"/>
          <w:sz w:val="32"/>
          <w:szCs w:val="32"/>
          <w:lang w:eastAsia="zh-CN"/>
        </w:rPr>
        <w:t>区住房保障中心：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方正仿宋_GBK" w:hAnsi="Times New Roman" w:eastAsia="方正仿宋_GBK" w:cs="方正小标宋_GBK"/>
          <w:bCs/>
          <w:snapToGrid/>
          <w:kern w:val="2"/>
          <w:sz w:val="32"/>
          <w:szCs w:val="32"/>
          <w:lang w:eastAsia="zh-CN"/>
        </w:rPr>
      </w:pPr>
      <w:r>
        <w:rPr>
          <w:rFonts w:hint="eastAsia" w:ascii="方正仿宋_GBK" w:hAnsi="Times New Roman" w:eastAsia="方正仿宋_GBK" w:cs="方正小标宋_GBK"/>
          <w:bCs/>
          <w:snapToGrid/>
          <w:kern w:val="2"/>
          <w:sz w:val="32"/>
          <w:szCs w:val="32"/>
          <w:lang w:eastAsia="zh-CN"/>
        </w:rPr>
        <w:t>根据市财政局《关于下达2024年农村危房改造补助资金预 算的通知》(渝财建〔2024〕86号)和我局2024年第10次局务 会研究意见，并报经区政府同意，下达你单位2024年农村危房 改造补助资金预算217.95 万元，纳入直达资金管理，用于农村 低收入群体等重点对象危房改造支出。其中：C 级103户、D 级 48户、无房户19户。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方正仿宋_GBK" w:hAnsi="Times New Roman" w:eastAsia="方正仿宋_GBK" w:cs="方正小标宋_GBK"/>
          <w:bCs/>
          <w:snapToGrid/>
          <w:kern w:val="2"/>
          <w:sz w:val="32"/>
          <w:szCs w:val="32"/>
          <w:lang w:eastAsia="zh-CN"/>
        </w:rPr>
      </w:pPr>
      <w:r>
        <w:rPr>
          <w:rFonts w:hint="eastAsia" w:ascii="方正仿宋_GBK" w:hAnsi="Times New Roman" w:eastAsia="方正仿宋_GBK" w:cs="方正小标宋_GBK"/>
          <w:bCs/>
          <w:snapToGrid/>
          <w:kern w:val="2"/>
          <w:sz w:val="32"/>
          <w:szCs w:val="32"/>
          <w:lang w:eastAsia="zh-CN"/>
        </w:rPr>
        <w:t>功能科目列“2210105-农村危房改造”,政府预算经济科目 列“50601-资本性支出(一)”,部门预算经济科目列“31099-其 他资本性支出”。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方正仿宋_GBK" w:hAnsi="Times New Roman" w:eastAsia="方正仿宋_GBK" w:cs="方正小标宋_GBK"/>
          <w:bCs/>
          <w:snapToGrid/>
          <w:kern w:val="2"/>
          <w:sz w:val="32"/>
          <w:szCs w:val="32"/>
          <w:lang w:eastAsia="zh-CN"/>
        </w:rPr>
      </w:pPr>
      <w:r>
        <w:rPr>
          <w:rFonts w:hint="eastAsia" w:ascii="方正仿宋_GBK" w:hAnsi="Times New Roman" w:eastAsia="方正仿宋_GBK" w:cs="方正小标宋_GBK"/>
          <w:bCs/>
          <w:snapToGrid/>
          <w:kern w:val="2"/>
          <w:sz w:val="32"/>
          <w:szCs w:val="32"/>
          <w:lang w:eastAsia="zh-CN"/>
        </w:rPr>
        <w:t>请严格按照资金用途使用，并加快工程进度，按进度及时拨 付资金，做好项目实施监控。管好、用好中央财政补助资金，做 好绩效管理相关工作，提高资金使用效益，并自觉接受有关部门 的监督和检查。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方正仿宋_GBK" w:hAnsi="Times New Roman" w:eastAsia="方正仿宋_GBK" w:cs="方正小标宋_GBK"/>
          <w:bCs/>
          <w:snapToGrid/>
          <w:kern w:val="2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方正仿宋_GBK" w:hAnsi="Times New Roman" w:eastAsia="方正仿宋_GBK" w:cs="方正小标宋_GBK"/>
          <w:bCs/>
          <w:snapToGrid/>
          <w:kern w:val="2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sz w:val="32"/>
          <w:szCs w:val="32"/>
        </w:rPr>
      </w:pPr>
      <w:r>
        <w:rPr>
          <w:rFonts w:hint="eastAsia" w:ascii="方正仿宋_GBK" w:hAnsi="Times New Roman" w:eastAsia="方正仿宋_GBK" w:cs="方正小标宋_GBK"/>
          <w:bCs/>
          <w:snapToGrid/>
          <w:kern w:val="2"/>
          <w:sz w:val="32"/>
          <w:szCs w:val="32"/>
          <w:lang w:eastAsia="zh-CN"/>
        </w:rPr>
        <w:t>附件：2024年农村危房改造补助资金绩效目标表</w:t>
      </w:r>
    </w:p>
    <w:p>
      <w:pPr>
        <w:spacing w:line="258" w:lineRule="auto"/>
        <w:rPr>
          <w:rFonts w:ascii="Arial"/>
          <w:sz w:val="21"/>
        </w:rPr>
      </w:pPr>
    </w:p>
    <w:p>
      <w:pPr>
        <w:spacing w:line="259" w:lineRule="auto"/>
        <w:rPr>
          <w:rFonts w:ascii="Arial"/>
          <w:sz w:val="21"/>
        </w:rPr>
      </w:pPr>
    </w:p>
    <w:p>
      <w:pPr>
        <w:spacing w:line="259" w:lineRule="auto"/>
        <w:rPr>
          <w:rFonts w:ascii="Arial"/>
          <w:sz w:val="21"/>
        </w:rPr>
      </w:pPr>
    </w:p>
    <w:p>
      <w:pPr>
        <w:spacing w:line="259" w:lineRule="auto"/>
        <w:rPr>
          <w:rFonts w:ascii="Arial"/>
          <w:sz w:val="21"/>
        </w:rPr>
      </w:pPr>
    </w:p>
    <w:p>
      <w:pPr>
        <w:spacing w:line="259" w:lineRule="auto"/>
        <w:rPr>
          <w:rFonts w:ascii="Arial"/>
          <w:sz w:val="21"/>
        </w:rPr>
      </w:pPr>
    </w:p>
    <w:p>
      <w:pPr>
        <w:spacing w:line="259" w:lineRule="auto"/>
        <w:rPr>
          <w:rFonts w:ascii="Arial"/>
          <w:sz w:val="21"/>
        </w:rPr>
      </w:pPr>
    </w:p>
    <w:p>
      <w:pPr>
        <w:spacing w:line="259" w:lineRule="auto"/>
        <w:rPr>
          <w:rFonts w:ascii="Arial"/>
          <w:sz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right"/>
        <w:textAlignment w:val="auto"/>
        <w:rPr>
          <w:sz w:val="32"/>
          <w:szCs w:val="32"/>
        </w:rPr>
        <w:sectPr>
          <w:footerReference r:id="rId5" w:type="default"/>
          <w:pgSz w:w="12050" w:h="16930"/>
          <w:pgMar w:top="1984" w:right="1446" w:bottom="1644" w:left="1446" w:header="0" w:footer="1387" w:gutter="0"/>
          <w:cols w:space="720" w:num="1"/>
        </w:sectPr>
      </w:pPr>
      <w:r>
        <w:rPr>
          <w:rFonts w:hint="eastAsia" w:ascii="方正仿宋_GBK" w:hAnsi="Times New Roman" w:eastAsia="方正仿宋_GBK" w:cs="方正小标宋_GBK"/>
          <w:bCs/>
          <w:snapToGrid/>
          <w:kern w:val="2"/>
          <w:sz w:val="32"/>
          <w:szCs w:val="32"/>
          <w:lang w:eastAsia="zh-CN"/>
        </w:rPr>
        <w:t>重庆市开州区财政局</w:t>
      </w:r>
      <w:bookmarkStart w:id="0" w:name="_GoBack"/>
      <w:bookmarkEnd w:id="0"/>
      <w:r>
        <w:rPr>
          <w:rFonts w:hint="eastAsia" w:ascii="方正仿宋_GBK" w:hAnsi="Times New Roman" w:eastAsia="方正仿宋_GBK" w:cs="方正小标宋_GBK"/>
          <w:bCs/>
          <w:snapToGrid/>
          <w:kern w:val="2"/>
          <w:sz w:val="32"/>
          <w:szCs w:val="32"/>
          <w:lang w:val="en-US" w:eastAsia="zh-CN"/>
        </w:rPr>
        <w:t xml:space="preserve">                                                                                        </w:t>
      </w:r>
      <w:r>
        <w:rPr>
          <w:rFonts w:hint="eastAsia" w:ascii="方正仿宋_GBK" w:hAnsi="Times New Roman" w:eastAsia="方正仿宋_GBK" w:cs="方正小标宋_GBK"/>
          <w:bCs/>
          <w:snapToGrid/>
          <w:kern w:val="2"/>
          <w:sz w:val="32"/>
          <w:szCs w:val="32"/>
          <w:lang w:eastAsia="zh-CN"/>
        </w:rPr>
        <w:t>2024年6月19日</w:t>
      </w:r>
    </w:p>
    <w:p>
      <w:pPr>
        <w:spacing w:before="97" w:line="224" w:lineRule="auto"/>
        <w:rPr>
          <w:rFonts w:hint="eastAsia" w:ascii="方正黑体_GBK" w:hAnsi="方正黑体_GBK" w:eastAsia="方正黑体_GBK" w:cs="方正黑体_GBK"/>
          <w:b w:val="0"/>
          <w:bCs w:val="0"/>
          <w:spacing w:val="4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spacing w:val="4"/>
          <w:sz w:val="32"/>
          <w:szCs w:val="32"/>
        </w:rPr>
        <w:t>附件</w:t>
      </w:r>
    </w:p>
    <w:p>
      <w:pPr>
        <w:spacing w:before="97" w:line="224" w:lineRule="auto"/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pacing w:val="-8"/>
          <w:sz w:val="44"/>
          <w:szCs w:val="44"/>
        </w:rPr>
        <w:t>2024年农村危房改造补助资金绩效目标</w:t>
      </w:r>
    </w:p>
    <w:p>
      <w:pPr>
        <w:spacing w:before="40"/>
      </w:pPr>
    </w:p>
    <w:tbl>
      <w:tblPr>
        <w:tblStyle w:val="7"/>
        <w:tblW w:w="923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74"/>
        <w:gridCol w:w="859"/>
        <w:gridCol w:w="1548"/>
        <w:gridCol w:w="839"/>
        <w:gridCol w:w="2407"/>
        <w:gridCol w:w="231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4" w:hRule="atLeast"/>
        </w:trPr>
        <w:tc>
          <w:tcPr>
            <w:tcW w:w="2133" w:type="dxa"/>
            <w:gridSpan w:val="2"/>
            <w:vAlign w:val="top"/>
          </w:tcPr>
          <w:p>
            <w:pPr>
              <w:pStyle w:val="8"/>
              <w:spacing w:before="207" w:line="220" w:lineRule="auto"/>
              <w:ind w:left="354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pacing w:val="3"/>
                <w:sz w:val="28"/>
                <w:szCs w:val="28"/>
              </w:rPr>
              <w:t>专项名称</w:t>
            </w:r>
          </w:p>
        </w:tc>
        <w:tc>
          <w:tcPr>
            <w:tcW w:w="7106" w:type="dxa"/>
            <w:gridSpan w:val="4"/>
            <w:vAlign w:val="top"/>
          </w:tcPr>
          <w:p>
            <w:pPr>
              <w:pStyle w:val="8"/>
              <w:spacing w:before="204" w:line="219" w:lineRule="auto"/>
              <w:ind w:left="2421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2024年农村危房改造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2133" w:type="dxa"/>
            <w:gridSpan w:val="2"/>
            <w:vAlign w:val="top"/>
          </w:tcPr>
          <w:p>
            <w:pPr>
              <w:pStyle w:val="8"/>
              <w:spacing w:before="222" w:line="219" w:lineRule="auto"/>
              <w:ind w:left="74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pacing w:val="5"/>
                <w:sz w:val="28"/>
                <w:szCs w:val="28"/>
              </w:rPr>
              <w:t>市级主管部门</w:t>
            </w:r>
          </w:p>
        </w:tc>
        <w:tc>
          <w:tcPr>
            <w:tcW w:w="7106" w:type="dxa"/>
            <w:gridSpan w:val="4"/>
            <w:vAlign w:val="top"/>
          </w:tcPr>
          <w:p>
            <w:pPr>
              <w:pStyle w:val="8"/>
              <w:spacing w:before="220" w:line="219" w:lineRule="auto"/>
              <w:ind w:left="2002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重庆市住房城乡建设委员会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9" w:hRule="atLeast"/>
        </w:trPr>
        <w:tc>
          <w:tcPr>
            <w:tcW w:w="2133" w:type="dxa"/>
            <w:gridSpan w:val="2"/>
            <w:vAlign w:val="top"/>
          </w:tcPr>
          <w:p>
            <w:pPr>
              <w:pStyle w:val="8"/>
              <w:spacing w:before="303" w:line="219" w:lineRule="auto"/>
              <w:ind w:left="74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pacing w:val="5"/>
                <w:sz w:val="28"/>
                <w:szCs w:val="28"/>
              </w:rPr>
              <w:t>区级财政部门</w:t>
            </w:r>
          </w:p>
        </w:tc>
        <w:tc>
          <w:tcPr>
            <w:tcW w:w="2387" w:type="dxa"/>
            <w:gridSpan w:val="2"/>
            <w:vAlign w:val="top"/>
          </w:tcPr>
          <w:p>
            <w:pPr>
              <w:pStyle w:val="8"/>
              <w:spacing w:before="301" w:line="219" w:lineRule="auto"/>
              <w:ind w:left="341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pacing w:val="3"/>
                <w:sz w:val="28"/>
                <w:szCs w:val="28"/>
              </w:rPr>
              <w:t>开州区市财政局</w:t>
            </w:r>
          </w:p>
        </w:tc>
        <w:tc>
          <w:tcPr>
            <w:tcW w:w="2407" w:type="dxa"/>
            <w:vAlign w:val="top"/>
          </w:tcPr>
          <w:p>
            <w:pPr>
              <w:pStyle w:val="8"/>
              <w:spacing w:before="303" w:line="219" w:lineRule="auto"/>
              <w:ind w:left="404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pacing w:val="5"/>
                <w:sz w:val="28"/>
                <w:szCs w:val="28"/>
              </w:rPr>
              <w:t>区级主管部门</w:t>
            </w:r>
          </w:p>
        </w:tc>
        <w:tc>
          <w:tcPr>
            <w:tcW w:w="2312" w:type="dxa"/>
            <w:vAlign w:val="top"/>
          </w:tcPr>
          <w:p>
            <w:pPr>
              <w:pStyle w:val="8"/>
              <w:spacing w:before="91" w:line="253" w:lineRule="auto"/>
              <w:ind w:left="587" w:right="14" w:hanging="560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pacing w:val="2"/>
                <w:sz w:val="28"/>
                <w:szCs w:val="28"/>
              </w:rPr>
              <w:t xml:space="preserve">重庆市开州区住房 </w:t>
            </w:r>
            <w:r>
              <w:rPr>
                <w:rFonts w:hint="eastAsia" w:ascii="方正仿宋_GBK" w:hAnsi="方正仿宋_GBK" w:eastAsia="方正仿宋_GBK" w:cs="方正仿宋_GBK"/>
                <w:spacing w:val="3"/>
                <w:sz w:val="28"/>
                <w:szCs w:val="28"/>
              </w:rPr>
              <w:t>城乡建委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2133" w:type="dxa"/>
            <w:gridSpan w:val="2"/>
            <w:vMerge w:val="restart"/>
            <w:tcBorders>
              <w:bottom w:val="nil"/>
            </w:tcBorders>
            <w:vAlign w:val="top"/>
          </w:tcPr>
          <w:p>
            <w:pPr>
              <w:pStyle w:val="8"/>
              <w:spacing w:before="315" w:line="220" w:lineRule="auto"/>
              <w:ind w:left="354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pacing w:val="3"/>
                <w:sz w:val="28"/>
                <w:szCs w:val="28"/>
              </w:rPr>
              <w:t>资金情况</w:t>
            </w:r>
          </w:p>
          <w:p>
            <w:pPr>
              <w:pStyle w:val="8"/>
              <w:spacing w:before="76" w:line="220" w:lineRule="auto"/>
              <w:ind w:left="494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pacing w:val="15"/>
                <w:sz w:val="28"/>
                <w:szCs w:val="28"/>
              </w:rPr>
              <w:t>(万元)</w:t>
            </w:r>
          </w:p>
        </w:tc>
        <w:tc>
          <w:tcPr>
            <w:tcW w:w="2387" w:type="dxa"/>
            <w:gridSpan w:val="2"/>
            <w:vAlign w:val="top"/>
          </w:tcPr>
          <w:p>
            <w:pPr>
              <w:pStyle w:val="8"/>
              <w:spacing w:before="74" w:line="219" w:lineRule="auto"/>
              <w:ind w:left="481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pacing w:val="1"/>
                <w:sz w:val="28"/>
                <w:szCs w:val="28"/>
              </w:rPr>
              <w:t>下达资金总额</w:t>
            </w:r>
          </w:p>
        </w:tc>
        <w:tc>
          <w:tcPr>
            <w:tcW w:w="4719" w:type="dxa"/>
            <w:gridSpan w:val="2"/>
            <w:vAlign w:val="top"/>
          </w:tcPr>
          <w:p>
            <w:pPr>
              <w:pStyle w:val="8"/>
              <w:spacing w:before="146" w:line="174" w:lineRule="auto"/>
              <w:ind w:left="1934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  <w:sz w:val="28"/>
                <w:szCs w:val="28"/>
              </w:rPr>
              <w:t>217.95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 w:hRule="atLeast"/>
        </w:trPr>
        <w:tc>
          <w:tcPr>
            <w:tcW w:w="2133" w:type="dxa"/>
            <w:gridSpan w:val="2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2387" w:type="dxa"/>
            <w:gridSpan w:val="2"/>
            <w:vAlign w:val="top"/>
          </w:tcPr>
          <w:p>
            <w:pPr>
              <w:pStyle w:val="8"/>
              <w:spacing w:before="85" w:line="220" w:lineRule="auto"/>
              <w:ind w:left="61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pacing w:val="1"/>
                <w:sz w:val="28"/>
                <w:szCs w:val="28"/>
              </w:rPr>
              <w:t>其中：中央财政补助</w:t>
            </w:r>
          </w:p>
        </w:tc>
        <w:tc>
          <w:tcPr>
            <w:tcW w:w="4719" w:type="dxa"/>
            <w:gridSpan w:val="2"/>
            <w:vAlign w:val="top"/>
          </w:tcPr>
          <w:p>
            <w:pPr>
              <w:pStyle w:val="8"/>
              <w:spacing w:before="156" w:line="174" w:lineRule="auto"/>
              <w:ind w:left="1934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  <w:sz w:val="28"/>
                <w:szCs w:val="28"/>
              </w:rPr>
              <w:t>217.95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2133" w:type="dxa"/>
            <w:gridSpan w:val="2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2387" w:type="dxa"/>
            <w:gridSpan w:val="2"/>
            <w:vAlign w:val="top"/>
          </w:tcPr>
          <w:p>
            <w:pPr>
              <w:pStyle w:val="8"/>
              <w:spacing w:before="76" w:line="220" w:lineRule="auto"/>
              <w:ind w:left="761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pacing w:val="3"/>
                <w:sz w:val="28"/>
                <w:szCs w:val="28"/>
              </w:rPr>
              <w:t>地方资金</w:t>
            </w:r>
          </w:p>
        </w:tc>
        <w:tc>
          <w:tcPr>
            <w:tcW w:w="4719" w:type="dxa"/>
            <w:gridSpan w:val="2"/>
            <w:vAlign w:val="top"/>
          </w:tcPr>
          <w:p>
            <w:pP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9" w:hRule="atLeast"/>
        </w:trPr>
        <w:tc>
          <w:tcPr>
            <w:tcW w:w="1274" w:type="dxa"/>
            <w:vAlign w:val="top"/>
          </w:tcPr>
          <w:p>
            <w:pPr>
              <w:pStyle w:val="8"/>
              <w:spacing w:before="194" w:line="258" w:lineRule="auto"/>
              <w:ind w:left="344" w:right="66" w:hanging="280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pacing w:val="3"/>
                <w:sz w:val="28"/>
                <w:szCs w:val="28"/>
              </w:rPr>
              <w:t>年度总体</w:t>
            </w: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11"/>
                <w:sz w:val="28"/>
                <w:szCs w:val="28"/>
              </w:rPr>
              <w:t>目标</w:t>
            </w:r>
          </w:p>
        </w:tc>
        <w:tc>
          <w:tcPr>
            <w:tcW w:w="7965" w:type="dxa"/>
            <w:gridSpan w:val="5"/>
            <w:vAlign w:val="top"/>
          </w:tcPr>
          <w:p>
            <w:pPr>
              <w:pStyle w:val="8"/>
              <w:spacing w:before="194" w:line="263" w:lineRule="auto"/>
              <w:ind w:left="10" w:right="514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支持农村低收入群体等重点对象170户CD级农村危房改造，保</w:t>
            </w:r>
            <w:r>
              <w:rPr>
                <w:rFonts w:hint="eastAsia" w:ascii="方正仿宋_GBK" w:hAnsi="方正仿宋_GBK" w:eastAsia="方正仿宋_GBK" w:cs="方正仿宋_GBK"/>
                <w:spacing w:val="8"/>
                <w:sz w:val="28"/>
                <w:szCs w:val="28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"/>
                <w:sz w:val="28"/>
                <w:szCs w:val="28"/>
              </w:rPr>
              <w:t>障其基本住房安全。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9" w:hRule="atLeast"/>
        </w:trPr>
        <w:tc>
          <w:tcPr>
            <w:tcW w:w="1274" w:type="dxa"/>
            <w:vMerge w:val="restart"/>
            <w:tcBorders>
              <w:bottom w:val="nil"/>
            </w:tcBorders>
            <w:vAlign w:val="top"/>
          </w:tcPr>
          <w:p>
            <w:pPr>
              <w:spacing w:line="261" w:lineRule="auto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  <w:p>
            <w:pPr>
              <w:spacing w:line="261" w:lineRule="auto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  <w:p>
            <w:pPr>
              <w:spacing w:line="261" w:lineRule="auto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  <w:p>
            <w:pPr>
              <w:spacing w:line="261" w:lineRule="auto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  <w:p>
            <w:pPr>
              <w:spacing w:line="261" w:lineRule="auto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  <w:p>
            <w:pPr>
              <w:spacing w:line="262" w:lineRule="auto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  <w:p>
            <w:pPr>
              <w:spacing w:line="262" w:lineRule="auto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  <w:p>
            <w:pPr>
              <w:spacing w:line="262" w:lineRule="auto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  <w:p>
            <w:pPr>
              <w:spacing w:line="262" w:lineRule="auto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  <w:p>
            <w:pPr>
              <w:spacing w:line="262" w:lineRule="auto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  <w:p>
            <w:pPr>
              <w:spacing w:line="262" w:lineRule="auto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  <w:p>
            <w:pPr>
              <w:pStyle w:val="8"/>
              <w:spacing w:before="91" w:line="220" w:lineRule="auto"/>
              <w:ind w:left="64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pacing w:val="2"/>
                <w:sz w:val="28"/>
                <w:szCs w:val="28"/>
              </w:rPr>
              <w:t>绩效指标</w:t>
            </w:r>
          </w:p>
        </w:tc>
        <w:tc>
          <w:tcPr>
            <w:tcW w:w="859" w:type="dxa"/>
            <w:vAlign w:val="top"/>
          </w:tcPr>
          <w:p>
            <w:pPr>
              <w:pStyle w:val="8"/>
              <w:spacing w:before="87" w:line="241" w:lineRule="auto"/>
              <w:ind w:left="140" w:right="130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pacing w:val="8"/>
                <w:sz w:val="28"/>
                <w:szCs w:val="28"/>
              </w:rPr>
              <w:t>一级</w:t>
            </w: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5"/>
                <w:sz w:val="28"/>
                <w:szCs w:val="28"/>
              </w:rPr>
              <w:t>指标</w:t>
            </w:r>
          </w:p>
        </w:tc>
        <w:tc>
          <w:tcPr>
            <w:tcW w:w="1548" w:type="dxa"/>
            <w:vAlign w:val="top"/>
          </w:tcPr>
          <w:p>
            <w:pPr>
              <w:pStyle w:val="8"/>
              <w:spacing w:before="286" w:line="220" w:lineRule="auto"/>
              <w:ind w:left="201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pacing w:val="2"/>
                <w:sz w:val="28"/>
                <w:szCs w:val="28"/>
              </w:rPr>
              <w:t>二级指标</w:t>
            </w:r>
          </w:p>
        </w:tc>
        <w:tc>
          <w:tcPr>
            <w:tcW w:w="3246" w:type="dxa"/>
            <w:gridSpan w:val="2"/>
            <w:vAlign w:val="top"/>
          </w:tcPr>
          <w:p>
            <w:pPr>
              <w:pStyle w:val="8"/>
              <w:spacing w:before="286" w:line="220" w:lineRule="auto"/>
              <w:ind w:left="1054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pacing w:val="2"/>
                <w:sz w:val="28"/>
                <w:szCs w:val="28"/>
              </w:rPr>
              <w:t>三级指标</w:t>
            </w:r>
          </w:p>
        </w:tc>
        <w:tc>
          <w:tcPr>
            <w:tcW w:w="2312" w:type="dxa"/>
            <w:vAlign w:val="top"/>
          </w:tcPr>
          <w:p>
            <w:pPr>
              <w:pStyle w:val="8"/>
              <w:spacing w:before="285" w:line="219" w:lineRule="auto"/>
              <w:ind w:left="727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pacing w:val="3"/>
                <w:sz w:val="28"/>
                <w:szCs w:val="28"/>
              </w:rPr>
              <w:t>指标值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9" w:hRule="atLeast"/>
        </w:trPr>
        <w:tc>
          <w:tcPr>
            <w:tcW w:w="127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859" w:type="dxa"/>
            <w:vMerge w:val="restart"/>
            <w:tcBorders>
              <w:bottom w:val="nil"/>
            </w:tcBorders>
            <w:vAlign w:val="top"/>
          </w:tcPr>
          <w:p>
            <w:pPr>
              <w:spacing w:line="249" w:lineRule="auto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  <w:p>
            <w:pPr>
              <w:spacing w:line="250" w:lineRule="auto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  <w:p>
            <w:pPr>
              <w:spacing w:line="250" w:lineRule="auto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  <w:p>
            <w:pPr>
              <w:spacing w:line="250" w:lineRule="auto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  <w:p>
            <w:pPr>
              <w:spacing w:line="250" w:lineRule="auto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  <w:p>
            <w:pPr>
              <w:spacing w:line="250" w:lineRule="auto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  <w:p>
            <w:pPr>
              <w:spacing w:line="250" w:lineRule="auto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  <w:p>
            <w:pPr>
              <w:spacing w:line="250" w:lineRule="auto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  <w:p>
            <w:pPr>
              <w:spacing w:line="250" w:lineRule="auto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  <w:p>
            <w:pPr>
              <w:pStyle w:val="8"/>
              <w:spacing w:before="91" w:line="252" w:lineRule="auto"/>
              <w:ind w:left="140" w:right="114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pacing w:val="16"/>
                <w:sz w:val="28"/>
                <w:szCs w:val="28"/>
              </w:rPr>
              <w:t>产出</w:t>
            </w: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5"/>
                <w:sz w:val="28"/>
                <w:szCs w:val="28"/>
              </w:rPr>
              <w:t>指标</w:t>
            </w:r>
          </w:p>
        </w:tc>
        <w:tc>
          <w:tcPr>
            <w:tcW w:w="1548" w:type="dxa"/>
            <w:vMerge w:val="restart"/>
            <w:tcBorders>
              <w:bottom w:val="nil"/>
            </w:tcBorders>
            <w:vAlign w:val="top"/>
          </w:tcPr>
          <w:p>
            <w:pPr>
              <w:spacing w:line="276" w:lineRule="auto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  <w:p>
            <w:pPr>
              <w:spacing w:line="277" w:lineRule="auto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  <w:p>
            <w:pPr>
              <w:spacing w:line="277" w:lineRule="auto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  <w:p>
            <w:pPr>
              <w:pStyle w:val="8"/>
              <w:spacing w:before="91" w:line="219" w:lineRule="auto"/>
              <w:ind w:left="201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pacing w:val="2"/>
                <w:sz w:val="28"/>
                <w:szCs w:val="28"/>
              </w:rPr>
              <w:t>数量指标</w:t>
            </w:r>
          </w:p>
        </w:tc>
        <w:tc>
          <w:tcPr>
            <w:tcW w:w="3246" w:type="dxa"/>
            <w:gridSpan w:val="2"/>
            <w:vAlign w:val="top"/>
          </w:tcPr>
          <w:p>
            <w:pPr>
              <w:pStyle w:val="8"/>
              <w:spacing w:before="86" w:line="248" w:lineRule="auto"/>
              <w:ind w:left="773" w:right="69" w:hanging="700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pacing w:val="1"/>
                <w:sz w:val="28"/>
                <w:szCs w:val="28"/>
              </w:rPr>
              <w:t>农村低收入群体等重点对</w:t>
            </w: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1"/>
                <w:sz w:val="28"/>
                <w:szCs w:val="28"/>
              </w:rPr>
              <w:t>象危房改造数</w:t>
            </w:r>
          </w:p>
        </w:tc>
        <w:tc>
          <w:tcPr>
            <w:tcW w:w="2312" w:type="dxa"/>
            <w:vAlign w:val="top"/>
          </w:tcPr>
          <w:p>
            <w:pPr>
              <w:pStyle w:val="8"/>
              <w:spacing w:before="297" w:line="220" w:lineRule="auto"/>
              <w:ind w:left="798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pacing w:val="9"/>
                <w:sz w:val="28"/>
                <w:szCs w:val="28"/>
              </w:rPr>
              <w:t>170户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49" w:hRule="atLeast"/>
        </w:trPr>
        <w:tc>
          <w:tcPr>
            <w:tcW w:w="127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85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548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3246" w:type="dxa"/>
            <w:gridSpan w:val="2"/>
            <w:vAlign w:val="top"/>
          </w:tcPr>
          <w:p>
            <w:pPr>
              <w:pStyle w:val="8"/>
              <w:spacing w:before="57" w:line="219" w:lineRule="auto"/>
              <w:ind w:left="143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pacing w:val="1"/>
                <w:sz w:val="28"/>
                <w:szCs w:val="28"/>
              </w:rPr>
              <w:t>7度以上抗震设防地区农</w:t>
            </w:r>
          </w:p>
          <w:p>
            <w:pPr>
              <w:pStyle w:val="8"/>
              <w:spacing w:before="85" w:line="219" w:lineRule="auto"/>
              <w:ind w:left="73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pacing w:val="1"/>
                <w:sz w:val="28"/>
                <w:szCs w:val="28"/>
              </w:rPr>
              <w:t>村低收入群体等重点对象</w:t>
            </w:r>
          </w:p>
          <w:p>
            <w:pPr>
              <w:pStyle w:val="8"/>
              <w:spacing w:before="79" w:line="219" w:lineRule="auto"/>
              <w:ind w:left="213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pacing w:val="1"/>
                <w:sz w:val="28"/>
                <w:szCs w:val="28"/>
              </w:rPr>
              <w:t>抗震不达标农房改造数</w:t>
            </w:r>
          </w:p>
        </w:tc>
        <w:tc>
          <w:tcPr>
            <w:tcW w:w="2312" w:type="dxa"/>
            <w:vAlign w:val="top"/>
          </w:tcPr>
          <w:p>
            <w:pPr>
              <w:spacing w:line="402" w:lineRule="auto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  <w:p>
            <w:pPr>
              <w:pStyle w:val="8"/>
              <w:spacing w:before="91" w:line="219" w:lineRule="auto"/>
              <w:ind w:left="167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pacing w:val="2"/>
                <w:sz w:val="28"/>
                <w:szCs w:val="28"/>
              </w:rPr>
              <w:t>依申请应改尽该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9" w:hRule="atLeast"/>
        </w:trPr>
        <w:tc>
          <w:tcPr>
            <w:tcW w:w="127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85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548" w:type="dxa"/>
            <w:vAlign w:val="top"/>
          </w:tcPr>
          <w:p>
            <w:pPr>
              <w:pStyle w:val="8"/>
              <w:spacing w:before="229" w:line="220" w:lineRule="auto"/>
              <w:ind w:left="201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pacing w:val="2"/>
                <w:sz w:val="28"/>
                <w:szCs w:val="28"/>
              </w:rPr>
              <w:t>质量指标</w:t>
            </w:r>
          </w:p>
        </w:tc>
        <w:tc>
          <w:tcPr>
            <w:tcW w:w="3246" w:type="dxa"/>
            <w:gridSpan w:val="2"/>
            <w:vAlign w:val="top"/>
          </w:tcPr>
          <w:p>
            <w:pPr>
              <w:pStyle w:val="8"/>
              <w:spacing w:before="228" w:line="219" w:lineRule="auto"/>
              <w:ind w:left="73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pacing w:val="1"/>
                <w:sz w:val="28"/>
                <w:szCs w:val="28"/>
              </w:rPr>
              <w:t>改造后房屋验收是否合格</w:t>
            </w:r>
          </w:p>
        </w:tc>
        <w:tc>
          <w:tcPr>
            <w:tcW w:w="2312" w:type="dxa"/>
            <w:vAlign w:val="top"/>
          </w:tcPr>
          <w:p>
            <w:pPr>
              <w:pStyle w:val="8"/>
              <w:spacing w:before="233" w:line="223" w:lineRule="auto"/>
              <w:ind w:left="1007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9" w:hRule="atLeast"/>
        </w:trPr>
        <w:tc>
          <w:tcPr>
            <w:tcW w:w="127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85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548" w:type="dxa"/>
            <w:vMerge w:val="restart"/>
            <w:tcBorders>
              <w:bottom w:val="nil"/>
            </w:tcBorders>
            <w:vAlign w:val="top"/>
          </w:tcPr>
          <w:p>
            <w:pPr>
              <w:spacing w:line="312" w:lineRule="auto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  <w:p>
            <w:pPr>
              <w:spacing w:line="313" w:lineRule="auto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  <w:p>
            <w:pPr>
              <w:pStyle w:val="8"/>
              <w:spacing w:before="91" w:line="220" w:lineRule="auto"/>
              <w:ind w:left="201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pacing w:val="2"/>
                <w:sz w:val="28"/>
                <w:szCs w:val="28"/>
              </w:rPr>
              <w:t>时效指标</w:t>
            </w:r>
          </w:p>
        </w:tc>
        <w:tc>
          <w:tcPr>
            <w:tcW w:w="3246" w:type="dxa"/>
            <w:gridSpan w:val="2"/>
            <w:vAlign w:val="top"/>
          </w:tcPr>
          <w:p>
            <w:pPr>
              <w:pStyle w:val="8"/>
              <w:spacing w:before="80" w:line="250" w:lineRule="auto"/>
              <w:ind w:left="493" w:right="31" w:hanging="420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pacing w:val="4"/>
                <w:sz w:val="28"/>
                <w:szCs w:val="28"/>
              </w:rPr>
              <w:t>改造后发起验收申请30日</w:t>
            </w:r>
            <w:r>
              <w:rPr>
                <w:rFonts w:hint="eastAsia" w:ascii="方正仿宋_GBK" w:hAnsi="方正仿宋_GBK" w:eastAsia="方正仿宋_GBK" w:cs="方正仿宋_GBK"/>
                <w:spacing w:val="1"/>
                <w:sz w:val="28"/>
                <w:szCs w:val="28"/>
              </w:rPr>
              <w:t xml:space="preserve"> 内补助资金发放率</w:t>
            </w:r>
          </w:p>
        </w:tc>
        <w:tc>
          <w:tcPr>
            <w:tcW w:w="2312" w:type="dxa"/>
            <w:vAlign w:val="top"/>
          </w:tcPr>
          <w:p>
            <w:pPr>
              <w:pStyle w:val="8"/>
              <w:spacing w:before="327" w:line="237" w:lineRule="auto"/>
              <w:ind w:left="727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pacing w:val="-7"/>
                <w:sz w:val="28"/>
                <w:szCs w:val="28"/>
              </w:rPr>
              <w:t>≥100%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9" w:hRule="atLeast"/>
        </w:trPr>
        <w:tc>
          <w:tcPr>
            <w:tcW w:w="127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85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548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3246" w:type="dxa"/>
            <w:gridSpan w:val="2"/>
            <w:vAlign w:val="top"/>
          </w:tcPr>
          <w:p>
            <w:pPr>
              <w:pStyle w:val="8"/>
              <w:spacing w:before="70" w:line="250" w:lineRule="auto"/>
              <w:ind w:left="1193" w:right="71" w:hanging="1120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危房改造和农房抗震改造</w:t>
            </w:r>
            <w:r>
              <w:rPr>
                <w:rFonts w:hint="eastAsia" w:ascii="方正仿宋_GBK" w:hAnsi="方正仿宋_GBK" w:eastAsia="方正仿宋_GBK" w:cs="方正仿宋_GBK"/>
                <w:spacing w:val="9"/>
                <w:sz w:val="28"/>
                <w:szCs w:val="28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4"/>
                <w:sz w:val="28"/>
                <w:szCs w:val="28"/>
              </w:rPr>
              <w:t>竣工率</w:t>
            </w:r>
          </w:p>
        </w:tc>
        <w:tc>
          <w:tcPr>
            <w:tcW w:w="2312" w:type="dxa"/>
            <w:vAlign w:val="top"/>
          </w:tcPr>
          <w:p>
            <w:pPr>
              <w:pStyle w:val="8"/>
              <w:spacing w:before="318" w:line="237" w:lineRule="auto"/>
              <w:ind w:left="798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pacing w:val="-8"/>
                <w:sz w:val="28"/>
                <w:szCs w:val="28"/>
              </w:rPr>
              <w:t>≥90%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4" w:hRule="atLeast"/>
        </w:trPr>
        <w:tc>
          <w:tcPr>
            <w:tcW w:w="1274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85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548" w:type="dxa"/>
            <w:vAlign w:val="top"/>
          </w:tcPr>
          <w:p>
            <w:pPr>
              <w:pStyle w:val="8"/>
              <w:spacing w:before="80" w:line="245" w:lineRule="auto"/>
              <w:ind w:left="480" w:right="53" w:hanging="419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pacing w:val="4"/>
                <w:sz w:val="28"/>
                <w:szCs w:val="28"/>
              </w:rPr>
              <w:t>可持续影响</w:t>
            </w:r>
            <w:r>
              <w:rPr>
                <w:rFonts w:hint="eastAsia" w:ascii="方正仿宋_GBK" w:hAnsi="方正仿宋_GBK" w:eastAsia="方正仿宋_GBK" w:cs="方正仿宋_GBK"/>
                <w:spacing w:val="1"/>
                <w:sz w:val="28"/>
                <w:szCs w:val="28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5"/>
                <w:sz w:val="28"/>
                <w:szCs w:val="28"/>
              </w:rPr>
              <w:t>指标</w:t>
            </w:r>
          </w:p>
        </w:tc>
        <w:tc>
          <w:tcPr>
            <w:tcW w:w="3246" w:type="dxa"/>
            <w:gridSpan w:val="2"/>
            <w:vAlign w:val="top"/>
          </w:tcPr>
          <w:p>
            <w:pPr>
              <w:pStyle w:val="8"/>
              <w:spacing w:before="89" w:line="242" w:lineRule="auto"/>
              <w:ind w:left="1332" w:right="48" w:hanging="1259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pacing w:val="3"/>
                <w:sz w:val="28"/>
                <w:szCs w:val="28"/>
              </w:rPr>
              <w:t>实施改造后房屋后续使用</w:t>
            </w: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7"/>
                <w:sz w:val="28"/>
                <w:szCs w:val="28"/>
              </w:rPr>
              <w:t>年限</w:t>
            </w:r>
          </w:p>
        </w:tc>
        <w:tc>
          <w:tcPr>
            <w:tcW w:w="2312" w:type="dxa"/>
            <w:vAlign w:val="top"/>
          </w:tcPr>
          <w:p>
            <w:pPr>
              <w:pStyle w:val="8"/>
              <w:spacing w:before="80" w:line="245" w:lineRule="auto"/>
              <w:ind w:left="167" w:right="162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pacing w:val="1"/>
                <w:sz w:val="28"/>
                <w:szCs w:val="28"/>
              </w:rPr>
              <w:t>拆除重建≥30年</w:t>
            </w:r>
            <w:r>
              <w:rPr>
                <w:rFonts w:hint="eastAsia" w:ascii="方正仿宋_GBK" w:hAnsi="方正仿宋_GBK" w:eastAsia="方正仿宋_GBK" w:cs="方正仿宋_GBK"/>
                <w:spacing w:val="3"/>
                <w:sz w:val="28"/>
                <w:szCs w:val="28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1"/>
                <w:sz w:val="28"/>
                <w:szCs w:val="28"/>
              </w:rPr>
              <w:t>维修加固≥15年</w:t>
            </w:r>
          </w:p>
        </w:tc>
      </w:tr>
    </w:tbl>
    <w:p>
      <w:pPr>
        <w:spacing w:before="4"/>
      </w:pPr>
    </w:p>
    <w:p>
      <w:pPr>
        <w:spacing w:before="4"/>
      </w:pPr>
    </w:p>
    <w:p>
      <w:pPr>
        <w:spacing w:before="4"/>
      </w:pPr>
    </w:p>
    <w:p>
      <w:pPr>
        <w:spacing w:before="4"/>
      </w:pPr>
    </w:p>
    <w:p>
      <w:pPr>
        <w:spacing w:before="4"/>
      </w:pPr>
    </w:p>
    <w:p>
      <w:pPr>
        <w:spacing w:before="4"/>
      </w:pPr>
    </w:p>
    <w:p>
      <w:pPr>
        <w:spacing w:before="4"/>
      </w:pPr>
    </w:p>
    <w:p>
      <w:pPr>
        <w:spacing w:before="4"/>
      </w:pPr>
    </w:p>
    <w:p>
      <w:pPr>
        <w:spacing w:before="4"/>
      </w:pPr>
    </w:p>
    <w:p>
      <w:pPr>
        <w:spacing w:before="4"/>
      </w:pPr>
    </w:p>
    <w:p>
      <w:pPr>
        <w:spacing w:before="4"/>
      </w:pPr>
    </w:p>
    <w:p>
      <w:pPr>
        <w:spacing w:before="4"/>
      </w:pPr>
    </w:p>
    <w:p>
      <w:pPr>
        <w:spacing w:before="4"/>
      </w:pPr>
    </w:p>
    <w:p>
      <w:pPr>
        <w:spacing w:before="4"/>
      </w:pPr>
    </w:p>
    <w:p>
      <w:pPr>
        <w:spacing w:before="4"/>
      </w:pPr>
    </w:p>
    <w:p>
      <w:pPr>
        <w:spacing w:before="4"/>
      </w:pPr>
    </w:p>
    <w:p>
      <w:pPr>
        <w:spacing w:before="4"/>
      </w:pPr>
    </w:p>
    <w:p>
      <w:pPr>
        <w:spacing w:before="4"/>
      </w:pPr>
    </w:p>
    <w:p>
      <w:pPr>
        <w:spacing w:before="4"/>
      </w:pPr>
    </w:p>
    <w:p>
      <w:pPr>
        <w:spacing w:before="4"/>
      </w:pPr>
    </w:p>
    <w:p>
      <w:pPr>
        <w:spacing w:before="4"/>
      </w:pPr>
    </w:p>
    <w:p>
      <w:pPr>
        <w:spacing w:before="4"/>
      </w:pPr>
    </w:p>
    <w:p>
      <w:pPr>
        <w:spacing w:before="4"/>
      </w:pPr>
    </w:p>
    <w:p>
      <w:pPr>
        <w:spacing w:before="4"/>
      </w:pPr>
    </w:p>
    <w:p>
      <w:pPr>
        <w:spacing w:before="4"/>
      </w:pPr>
    </w:p>
    <w:p>
      <w:pPr>
        <w:spacing w:before="4"/>
      </w:pPr>
    </w:p>
    <w:p>
      <w:pPr>
        <w:spacing w:before="4"/>
      </w:pPr>
    </w:p>
    <w:p>
      <w:pPr>
        <w:spacing w:before="4"/>
      </w:pPr>
    </w:p>
    <w:p>
      <w:pPr>
        <w:spacing w:before="4"/>
      </w:pPr>
    </w:p>
    <w:p>
      <w:pPr>
        <w:spacing w:before="4"/>
      </w:pPr>
    </w:p>
    <w:p>
      <w:pPr>
        <w:spacing w:before="4"/>
      </w:pPr>
    </w:p>
    <w:p>
      <w:pPr>
        <w:spacing w:before="4"/>
      </w:pPr>
    </w:p>
    <w:p>
      <w:pPr>
        <w:spacing w:before="3"/>
      </w:pPr>
    </w:p>
    <w:p>
      <w:pPr>
        <w:spacing w:before="3"/>
      </w:pPr>
    </w:p>
    <w:p>
      <w:pPr>
        <w:spacing w:before="3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spacing w:before="3"/>
      </w:pPr>
    </w:p>
    <w:tbl>
      <w:tblPr>
        <w:tblStyle w:val="7"/>
        <w:tblW w:w="8959" w:type="dxa"/>
        <w:tblInd w:w="0" w:type="dxa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016"/>
        <w:gridCol w:w="3943"/>
      </w:tblGrid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0" w:hRule="atLeast"/>
        </w:trPr>
        <w:tc>
          <w:tcPr>
            <w:tcW w:w="8959" w:type="dxa"/>
            <w:gridSpan w:val="2"/>
            <w:tcBorders>
              <w:top w:val="single" w:color="000000" w:sz="4" w:space="0"/>
              <w:bottom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320" w:firstLineChars="100"/>
              <w:jc w:val="left"/>
              <w:textAlignment w:val="auto"/>
              <w:rPr>
                <w:rFonts w:hint="eastAsia" w:ascii="方正仿宋_GBK" w:hAnsi="Times New Roman" w:eastAsia="方正仿宋_GBK" w:cs="方正小标宋_GBK"/>
                <w:bCs/>
                <w:snapToGrid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Times New Roman" w:eastAsia="方正仿宋_GBK" w:cs="方正小标宋_GBK"/>
                <w:bCs/>
                <w:snapToGrid/>
                <w:kern w:val="2"/>
                <w:sz w:val="32"/>
                <w:szCs w:val="32"/>
                <w:lang w:eastAsia="zh-CN"/>
              </w:rPr>
              <w:t>抄送：区住房城乡建委；预算科。</w:t>
            </w: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</w:tblPrEx>
        <w:trPr>
          <w:trHeight w:val="650" w:hRule="atLeast"/>
        </w:trPr>
        <w:tc>
          <w:tcPr>
            <w:tcW w:w="5016" w:type="dxa"/>
            <w:tcBorders>
              <w:top w:val="single" w:color="000000" w:sz="4" w:space="0"/>
              <w:bottom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320" w:firstLineChars="100"/>
              <w:jc w:val="left"/>
              <w:textAlignment w:val="auto"/>
              <w:rPr>
                <w:rFonts w:hint="eastAsia" w:ascii="方正仿宋_GBK" w:hAnsi="Times New Roman" w:eastAsia="方正仿宋_GBK" w:cs="方正小标宋_GBK"/>
                <w:bCs/>
                <w:snapToGrid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Times New Roman" w:eastAsia="方正仿宋_GBK" w:cs="方正小标宋_GBK"/>
                <w:bCs/>
                <w:snapToGrid/>
                <w:kern w:val="2"/>
                <w:sz w:val="32"/>
                <w:szCs w:val="32"/>
                <w:lang w:eastAsia="zh-CN"/>
              </w:rPr>
              <w:t>重庆市开州区财政局党政办公室</w:t>
            </w:r>
          </w:p>
        </w:tc>
        <w:tc>
          <w:tcPr>
            <w:tcW w:w="3943" w:type="dxa"/>
            <w:tcBorders>
              <w:top w:val="single" w:color="000000" w:sz="4" w:space="0"/>
              <w:bottom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640" w:firstLineChars="200"/>
              <w:jc w:val="left"/>
              <w:textAlignment w:val="auto"/>
              <w:rPr>
                <w:rFonts w:hint="eastAsia" w:ascii="方正仿宋_GBK" w:hAnsi="Times New Roman" w:eastAsia="方正仿宋_GBK" w:cs="方正小标宋_GBK"/>
                <w:bCs/>
                <w:snapToGrid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Times New Roman" w:eastAsia="方正仿宋_GBK" w:cs="方正小标宋_GBK"/>
                <w:bCs/>
                <w:snapToGrid/>
                <w:kern w:val="2"/>
                <w:sz w:val="32"/>
                <w:szCs w:val="32"/>
                <w:lang w:eastAsia="zh-CN"/>
              </w:rPr>
              <w:t>2024年6月19日印发</w:t>
            </w:r>
          </w:p>
        </w:tc>
      </w:tr>
    </w:tbl>
    <w:p>
      <w:pPr>
        <w:spacing w:line="223" w:lineRule="exact"/>
        <w:rPr>
          <w:rFonts w:ascii="Arial"/>
          <w:sz w:val="19"/>
        </w:rPr>
      </w:pPr>
    </w:p>
    <w:sectPr>
      <w:footerReference r:id="rId6" w:type="default"/>
      <w:pgSz w:w="12130" w:h="16990"/>
      <w:pgMar w:top="1984" w:right="1446" w:bottom="1644" w:left="1446" w:header="0" w:footer="1374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altName w:val="方正书宋_GBK"/>
    <w:panose1 w:val="02010600030101010101"/>
    <w:charset w:val="7A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等线">
    <w:altName w:val="汉仪中宋简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">
    <w:altName w:val="方正仿宋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汉仪中宋简">
    <w:panose1 w:val="02010600000101010101"/>
    <w:charset w:val="86"/>
    <w:family w:val="auto"/>
    <w:pitch w:val="default"/>
    <w:sig w:usb0="00000001" w:usb1="080E0800" w:usb2="00000002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7" w:lineRule="auto"/>
      <w:ind w:left="259"/>
      <w:rPr>
        <w:rFonts w:ascii="宋体" w:hAnsi="宋体" w:eastAsia="宋体" w:cs="宋体"/>
        <w:sz w:val="32"/>
        <w:szCs w:val="32"/>
      </w:rPr>
    </w:pPr>
    <w:r>
      <w:rPr>
        <w:rFonts w:ascii="宋体" w:hAnsi="宋体" w:eastAsia="宋体" w:cs="宋体"/>
        <w:spacing w:val="-4"/>
        <w:sz w:val="32"/>
        <w:szCs w:val="32"/>
      </w:rPr>
      <w:t>—2—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7" w:lineRule="auto"/>
      <w:ind w:left="319"/>
      <w:rPr>
        <w:rFonts w:ascii="宋体" w:hAnsi="宋体" w:eastAsia="宋体" w:cs="宋体"/>
        <w:sz w:val="33"/>
        <w:szCs w:val="33"/>
      </w:rPr>
    </w:pPr>
    <w:r>
      <w:rPr>
        <w:rFonts w:ascii="宋体" w:hAnsi="宋体" w:eastAsia="宋体" w:cs="宋体"/>
        <w:spacing w:val="-4"/>
        <w:sz w:val="33"/>
        <w:szCs w:val="33"/>
      </w:rPr>
      <w:t>—4—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3"/>
  <w:displayBackgroundShape w:val="true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Y2RjN2NhMmExZDRmOTdlMTM1MGQ3ZjdhNjRiMTI5NDAifQ=="/>
    <w:docVar w:name="KSO_WPS_MARK_KEY" w:val="d4dbaf4e-0bca-46bc-90df-70f530b0cf9e"/>
  </w:docVars>
  <w:rsids>
    <w:rsidRoot w:val="00000000"/>
    <w:rsid w:val="2EAF6948"/>
    <w:rsid w:val="DDDF3E7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snapToGrid w:val="0"/>
      <w:jc w:val="left"/>
    </w:pPr>
    <w:rPr>
      <w:rFonts w:ascii="方正楷体_GBK" w:hAnsi="方正楷体_GBK" w:eastAsia="等线" w:cs="方正楷体_GBK"/>
      <w:sz w:val="18"/>
      <w:szCs w:val="28"/>
    </w:rPr>
  </w:style>
  <w:style w:type="paragraph" w:styleId="3">
    <w:name w:val="Body Text"/>
    <w:basedOn w:val="1"/>
    <w:semiHidden/>
    <w:qFormat/>
    <w:uiPriority w:val="0"/>
    <w:rPr>
      <w:rFonts w:ascii="仿宋" w:hAnsi="仿宋" w:eastAsia="仿宋" w:cs="仿宋"/>
      <w:sz w:val="36"/>
      <w:szCs w:val="36"/>
      <w:lang w:val="en-US" w:eastAsia="en-US" w:bidi="ar-SA"/>
    </w:rPr>
  </w:style>
  <w:style w:type="paragraph" w:styleId="4">
    <w:name w:val="Date"/>
    <w:next w:val="1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0"/>
      <w:lang w:val="en-US" w:eastAsia="zh-CN" w:bidi="ar-SA"/>
    </w:rPr>
  </w:style>
  <w:style w:type="table" w:customStyle="1" w:styleId="7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8">
    <w:name w:val="Table Text"/>
    <w:basedOn w:val="1"/>
    <w:semiHidden/>
    <w:qFormat/>
    <w:uiPriority w:val="0"/>
    <w:rPr>
      <w:rFonts w:ascii="宋体" w:hAnsi="宋体" w:eastAsia="宋体" w:cs="宋体"/>
      <w:sz w:val="28"/>
      <w:szCs w:val="28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1.png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4</Pages>
  <Words>737</Words>
  <Characters>824</Characters>
  <TotalTime>13</TotalTime>
  <ScaleCrop>false</ScaleCrop>
  <LinksUpToDate>false</LinksUpToDate>
  <CharactersWithSpaces>848</CharactersWithSpaces>
  <Application>WPS Office_11.8.2.10290_F1E327BC-269C-435d-A152-05C5408002CA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2024-08-13T23:21:00Z</dcterms:created>
  <dc:creator>Kingsoft-PDF</dc:creator>
  <cp:lastModifiedBy>user</cp:lastModifiedBy>
  <dcterms:modified xsi:type="dcterms:W3CDTF">2024-08-13T15:58:06Z</dcterms:modified>
  <dc:subject>pdfbuilder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2024-08-13T15:21:07Z</vt:filetime>
  </property>
  <property fmtid="{D5CDD505-2E9C-101B-9397-08002B2CF9AE}" pid="4" name="UsrData">
    <vt:lpwstr>66bb095e8665bb001f6ce68awl</vt:lpwstr>
  </property>
  <property fmtid="{D5CDD505-2E9C-101B-9397-08002B2CF9AE}" pid="5" name="KSOProductBuildVer">
    <vt:lpwstr>2052-11.8.2.10290</vt:lpwstr>
  </property>
  <property fmtid="{D5CDD505-2E9C-101B-9397-08002B2CF9AE}" pid="6" name="ICV">
    <vt:lpwstr>5756D0F33547452EA142A29B9C3EB923</vt:lpwstr>
  </property>
</Properties>
</file>