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406" w:line="219" w:lineRule="auto"/>
        <w:ind w:left="131"/>
        <w:rPr>
          <w:rFonts w:ascii="宋体" w:hAnsi="宋体" w:eastAsia="宋体" w:cs="宋体"/>
          <w:sz w:val="125"/>
          <w:szCs w:val="125"/>
        </w:rPr>
      </w:pPr>
      <w:r>
        <w:rPr>
          <w:rFonts w:ascii="宋体" w:hAnsi="宋体" w:eastAsia="宋体" w:cs="宋体"/>
          <w:b/>
          <w:bCs/>
          <w:color w:val="FF2100"/>
          <w:spacing w:val="-78"/>
          <w:w w:val="67"/>
          <w:sz w:val="125"/>
          <w:szCs w:val="125"/>
        </w:rPr>
        <w:t>重庆市开州区财政局文件</w:t>
      </w:r>
    </w:p>
    <w:p>
      <w:pPr>
        <w:spacing w:line="440" w:lineRule="auto"/>
        <w:rPr>
          <w:rFonts w:ascii="Arial"/>
          <w:sz w:val="21"/>
        </w:rPr>
      </w:pPr>
    </w:p>
    <w:p>
      <w:pPr>
        <w:spacing w:before="110" w:line="222" w:lineRule="auto"/>
        <w:ind w:left="2609"/>
        <w:rPr>
          <w:rFonts w:ascii="仿宋" w:hAnsi="仿宋" w:eastAsia="仿宋" w:cs="仿宋"/>
          <w:sz w:val="34"/>
          <w:szCs w:val="34"/>
        </w:rPr>
      </w:pPr>
      <w:r>
        <w:rPr>
          <w:rFonts w:ascii="仿宋" w:hAnsi="仿宋" w:eastAsia="仿宋" w:cs="仿宋"/>
          <w:spacing w:val="-10"/>
          <w:sz w:val="34"/>
          <w:szCs w:val="34"/>
        </w:rPr>
        <w:t>开州财建发〔2023〕66号</w:t>
      </w:r>
    </w:p>
    <w:p>
      <w:pPr>
        <w:spacing w:line="466" w:lineRule="auto"/>
        <w:rPr>
          <w:rFonts w:ascii="Arial"/>
          <w:sz w:val="21"/>
        </w:rPr>
      </w:pPr>
    </w:p>
    <w:p>
      <w:pPr>
        <w:spacing w:line="60" w:lineRule="exact"/>
        <w:textAlignment w:val="center"/>
      </w:pPr>
      <w:r>
        <w:drawing>
          <wp:inline distT="0" distB="0" distL="0" distR="0">
            <wp:extent cx="5645150" cy="374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5645158" cy="38045"/>
                    </a:xfrm>
                    <a:prstGeom prst="rect">
                      <a:avLst/>
                    </a:prstGeom>
                  </pic:spPr>
                </pic:pic>
              </a:graphicData>
            </a:graphic>
          </wp:inline>
        </w:drawing>
      </w:r>
    </w:p>
    <w:p>
      <w:pPr>
        <w:spacing w:line="319" w:lineRule="auto"/>
        <w:rPr>
          <w:rFonts w:ascii="Arial"/>
          <w:sz w:val="21"/>
        </w:rPr>
      </w:pPr>
    </w:p>
    <w:p>
      <w:pPr>
        <w:spacing w:line="320" w:lineRule="auto"/>
        <w:rPr>
          <w:rFonts w:ascii="Arial"/>
          <w:sz w:val="21"/>
        </w:rPr>
      </w:pPr>
    </w:p>
    <w:p>
      <w:pPr>
        <w:spacing w:before="146" w:line="219" w:lineRule="auto"/>
        <w:ind w:left="2446"/>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2"/>
          <w:sz w:val="44"/>
          <w:szCs w:val="44"/>
        </w:rPr>
        <w:t>重庆市开州区财政局</w:t>
      </w:r>
    </w:p>
    <w:p>
      <w:pPr>
        <w:spacing w:before="56" w:line="219" w:lineRule="auto"/>
        <w:ind w:left="1456"/>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3"/>
          <w:sz w:val="44"/>
          <w:szCs w:val="44"/>
        </w:rPr>
        <w:t>关于下达2023年农村危房改造</w:t>
      </w:r>
    </w:p>
    <w:p>
      <w:pPr>
        <w:spacing w:before="59" w:line="219" w:lineRule="auto"/>
        <w:ind w:left="2436"/>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2"/>
          <w:sz w:val="44"/>
          <w:szCs w:val="44"/>
        </w:rPr>
        <w:t>补助资金预算的通知</w:t>
      </w:r>
    </w:p>
    <w:p>
      <w:pPr>
        <w:spacing w:line="328" w:lineRule="auto"/>
        <w:rPr>
          <w:rFonts w:ascii="Arial"/>
          <w:sz w:val="21"/>
        </w:rPr>
      </w:pPr>
    </w:p>
    <w:p>
      <w:pPr>
        <w:spacing w:line="32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1"/>
          <w:sz w:val="32"/>
          <w:szCs w:val="32"/>
        </w:rPr>
        <w:t>重庆市开州区住房保障中心：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根据《重庆市财政局关于下达2023年农村危房改造补助资金预算的通知》(渝财建〔2023〕176</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10"/>
          <w:sz w:val="32"/>
          <w:szCs w:val="32"/>
        </w:rPr>
        <w:t>号)精神，依据区财政局2023年第20次局务会研究意见并报经区政府</w:t>
      </w:r>
      <w:r>
        <w:rPr>
          <w:rFonts w:hint="eastAsia" w:ascii="方正仿宋_GBK" w:hAnsi="方正仿宋_GBK" w:eastAsia="方正仿宋_GBK" w:cs="方正仿宋_GBK"/>
          <w:spacing w:val="-11"/>
          <w:sz w:val="32"/>
          <w:szCs w:val="32"/>
        </w:rPr>
        <w:t>同意，现下达你单</w:t>
      </w:r>
      <w:r>
        <w:rPr>
          <w:rFonts w:hint="eastAsia" w:ascii="方正仿宋_GBK" w:hAnsi="方正仿宋_GBK" w:eastAsia="方正仿宋_GBK" w:cs="方正仿宋_GBK"/>
          <w:spacing w:val="-5"/>
          <w:sz w:val="32"/>
          <w:szCs w:val="32"/>
        </w:rPr>
        <w:t>位2023年农村危房改造中央直达资金437万元，专项用于农村</w:t>
      </w:r>
      <w:r>
        <w:rPr>
          <w:rFonts w:hint="eastAsia" w:ascii="方正仿宋_GBK" w:hAnsi="方正仿宋_GBK" w:eastAsia="方正仿宋_GBK" w:cs="方正仿宋_GBK"/>
          <w:spacing w:val="-20"/>
          <w:sz w:val="32"/>
          <w:szCs w:val="32"/>
        </w:rPr>
        <w:t>低收入群体等重点对象危房改造支出。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支出分类功能科目列“2210105-农村危房改造”</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政府预算经济科目“50601-资本性支出</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一</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部门预算经济科目“31099-其他资本性支出”。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1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8"/>
          <w:sz w:val="32"/>
          <w:szCs w:val="32"/>
        </w:rPr>
        <w:t>请加强对农村危房改造补助资金的使用管理，</w:t>
      </w:r>
      <w:r>
        <w:rPr>
          <w:rFonts w:hint="eastAsia" w:ascii="方正仿宋_GBK" w:hAnsi="方正仿宋_GBK" w:eastAsia="方正仿宋_GBK" w:cs="方正仿宋_GBK"/>
          <w:spacing w:val="17"/>
          <w:sz w:val="32"/>
          <w:szCs w:val="32"/>
        </w:rPr>
        <w:t>加快预算执</w:t>
      </w:r>
      <w:r>
        <w:rPr>
          <w:rFonts w:hint="eastAsia" w:ascii="方正仿宋_GBK" w:hAnsi="方正仿宋_GBK" w:eastAsia="方正仿宋_GBK" w:cs="方正仿宋_GBK"/>
          <w:spacing w:val="6"/>
          <w:sz w:val="32"/>
          <w:szCs w:val="32"/>
        </w:rPr>
        <w:t>行，提高资金使用效益，避免闲置浪费。绩效目标达成情况</w:t>
      </w:r>
      <w:r>
        <w:rPr>
          <w:rFonts w:hint="eastAsia" w:ascii="方正仿宋_GBK" w:hAnsi="方正仿宋_GBK" w:eastAsia="方正仿宋_GBK" w:cs="方正仿宋_GBK"/>
          <w:spacing w:val="5"/>
          <w:sz w:val="32"/>
          <w:szCs w:val="32"/>
        </w:rPr>
        <w:t>是后</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续资金分配的重要依据，请你单位高度重视，对照市住房城乡建委下达的计划任务数科学合理做好项目绩效目标分</w:t>
      </w:r>
      <w:r>
        <w:rPr>
          <w:rFonts w:hint="eastAsia" w:ascii="方正仿宋_GBK" w:hAnsi="方正仿宋_GBK" w:eastAsia="方正仿宋_GBK" w:cs="方正仿宋_GBK"/>
          <w:spacing w:val="5"/>
          <w:sz w:val="32"/>
          <w:szCs w:val="32"/>
        </w:rPr>
        <w:t>解、细化和项</w:t>
      </w:r>
      <w:r>
        <w:rPr>
          <w:rFonts w:hint="eastAsia" w:ascii="方正仿宋_GBK" w:hAnsi="方正仿宋_GBK" w:eastAsia="方正仿宋_GBK" w:cs="方正仿宋_GBK"/>
          <w:spacing w:val="7"/>
          <w:sz w:val="32"/>
          <w:szCs w:val="32"/>
        </w:rPr>
        <w:t>目实施绩效监控，确保绩效目标如期实现，并接受市级</w:t>
      </w:r>
      <w:r>
        <w:rPr>
          <w:rFonts w:hint="eastAsia" w:ascii="方正仿宋_GBK" w:hAnsi="方正仿宋_GBK" w:eastAsia="方正仿宋_GBK" w:cs="方正仿宋_GBK"/>
          <w:spacing w:val="6"/>
          <w:sz w:val="32"/>
          <w:szCs w:val="32"/>
        </w:rPr>
        <w:t>相关部门</w:t>
      </w:r>
      <w:r>
        <w:rPr>
          <w:rFonts w:hint="eastAsia" w:ascii="方正仿宋_GBK" w:hAnsi="方正仿宋_GBK" w:eastAsia="方正仿宋_GBK" w:cs="方正仿宋_GBK"/>
          <w:spacing w:val="-7"/>
          <w:sz w:val="32"/>
          <w:szCs w:val="32"/>
        </w:rPr>
        <w:t>的审计。</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8"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附件：2023年农村危房改造补助资金绩效目标表</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01" w:line="222" w:lineRule="auto"/>
        <w:ind w:left="469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重庆市开州区财政局</w:t>
      </w:r>
    </w:p>
    <w:p>
      <w:pPr>
        <w:spacing w:before="187" w:line="222" w:lineRule="auto"/>
        <w:ind w:left="4950"/>
        <w:rPr>
          <w:rFonts w:ascii="仿宋" w:hAnsi="仿宋" w:eastAsia="仿宋" w:cs="仿宋"/>
          <w:sz w:val="31"/>
          <w:szCs w:val="31"/>
        </w:rPr>
      </w:pPr>
      <w:r>
        <w:rPr>
          <w:rFonts w:hint="eastAsia" w:ascii="方正仿宋_GBK" w:hAnsi="方正仿宋_GBK" w:eastAsia="方正仿宋_GBK" w:cs="方正仿宋_GBK"/>
          <w:spacing w:val="50"/>
          <w:sz w:val="32"/>
          <w:szCs w:val="32"/>
        </w:rPr>
        <w:t>2023年9月5日</w:t>
      </w:r>
    </w:p>
    <w:p>
      <w:pPr>
        <w:sectPr>
          <w:footerReference r:id="rId5" w:type="default"/>
          <w:pgSz w:w="12060" w:h="16940"/>
          <w:pgMar w:top="210" w:right="1446" w:bottom="164" w:left="1446" w:header="0" w:footer="1470" w:gutter="0"/>
          <w:cols w:space="720" w:num="1"/>
        </w:sectPr>
      </w:pPr>
    </w:p>
    <w:p>
      <w:pPr>
        <w:spacing w:before="111" w:line="224" w:lineRule="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pacing w:val="-18"/>
          <w:sz w:val="32"/>
          <w:szCs w:val="32"/>
        </w:rPr>
        <w:t>附件</w:t>
      </w:r>
    </w:p>
    <w:p>
      <w:pPr>
        <w:spacing w:line="268" w:lineRule="auto"/>
        <w:rPr>
          <w:rFonts w:ascii="Arial"/>
          <w:sz w:val="21"/>
        </w:rPr>
      </w:pPr>
    </w:p>
    <w:p>
      <w:pPr>
        <w:spacing w:before="143" w:line="219" w:lineRule="auto"/>
        <w:jc w:val="center"/>
      </w:pPr>
      <w:r>
        <w:rPr>
          <w:rFonts w:hint="eastAsia" w:ascii="方正黑体_GBK" w:hAnsi="方正黑体_GBK" w:eastAsia="方正黑体_GBK" w:cs="方正黑体_GBK"/>
          <w:b w:val="0"/>
          <w:bCs w:val="0"/>
          <w:spacing w:val="1"/>
          <w:sz w:val="44"/>
          <w:szCs w:val="44"/>
        </w:rPr>
        <w:t>2023年农村危房改造补助资金绩效目标表</w:t>
      </w:r>
    </w:p>
    <w:p>
      <w:pPr>
        <w:jc w:val="center"/>
      </w:pPr>
    </w:p>
    <w:tbl>
      <w:tblPr>
        <w:tblStyle w:val="4"/>
        <w:tblpPr w:leftFromText="180" w:rightFromText="180" w:vertAnchor="text" w:horzAnchor="page" w:tblpX="1102" w:tblpY="189"/>
        <w:tblOverlap w:val="never"/>
        <w:tblW w:w="101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259"/>
        <w:gridCol w:w="1428"/>
        <w:gridCol w:w="3996"/>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551" w:type="dxa"/>
            <w:gridSpan w:val="3"/>
            <w:vAlign w:val="top"/>
          </w:tcPr>
          <w:p>
            <w:pPr>
              <w:spacing w:before="115" w:line="220" w:lineRule="auto"/>
              <w:ind w:left="1284"/>
              <w:rPr>
                <w:rFonts w:ascii="宋体" w:hAnsi="宋体" w:eastAsia="宋体" w:cs="宋体"/>
                <w:sz w:val="24"/>
                <w:szCs w:val="24"/>
              </w:rPr>
            </w:pPr>
            <w:bookmarkStart w:id="0" w:name="_GoBack"/>
            <w:r>
              <w:rPr>
                <w:rFonts w:ascii="宋体" w:hAnsi="宋体" w:eastAsia="宋体" w:cs="宋体"/>
                <w:spacing w:val="3"/>
                <w:sz w:val="24"/>
                <w:szCs w:val="24"/>
              </w:rPr>
              <w:t>项目名称</w:t>
            </w:r>
          </w:p>
        </w:tc>
        <w:tc>
          <w:tcPr>
            <w:tcW w:w="6553" w:type="dxa"/>
            <w:gridSpan w:val="2"/>
            <w:vAlign w:val="top"/>
          </w:tcPr>
          <w:p>
            <w:pPr>
              <w:spacing w:before="113" w:line="219" w:lineRule="auto"/>
              <w:ind w:left="2003"/>
              <w:rPr>
                <w:rFonts w:ascii="宋体" w:hAnsi="宋体" w:eastAsia="宋体" w:cs="宋体"/>
                <w:sz w:val="24"/>
                <w:szCs w:val="24"/>
              </w:rPr>
            </w:pPr>
            <w:r>
              <w:rPr>
                <w:rFonts w:ascii="宋体" w:hAnsi="宋体" w:eastAsia="宋体" w:cs="宋体"/>
                <w:spacing w:val="-1"/>
                <w:sz w:val="24"/>
                <w:szCs w:val="24"/>
              </w:rPr>
              <w:t>农村危房改造补助资金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551" w:type="dxa"/>
            <w:gridSpan w:val="3"/>
            <w:vAlign w:val="top"/>
          </w:tcPr>
          <w:p>
            <w:pPr>
              <w:spacing w:before="110" w:line="219" w:lineRule="auto"/>
              <w:ind w:left="1284"/>
              <w:rPr>
                <w:rFonts w:ascii="宋体" w:hAnsi="宋体" w:eastAsia="宋体" w:cs="宋体"/>
                <w:sz w:val="24"/>
                <w:szCs w:val="24"/>
              </w:rPr>
            </w:pPr>
            <w:r>
              <w:rPr>
                <w:rFonts w:ascii="宋体" w:hAnsi="宋体" w:eastAsia="宋体" w:cs="宋体"/>
                <w:spacing w:val="6"/>
                <w:sz w:val="24"/>
                <w:szCs w:val="24"/>
              </w:rPr>
              <w:t>主管部门</w:t>
            </w:r>
          </w:p>
        </w:tc>
        <w:tc>
          <w:tcPr>
            <w:tcW w:w="6553" w:type="dxa"/>
            <w:gridSpan w:val="2"/>
            <w:vAlign w:val="top"/>
          </w:tcPr>
          <w:p>
            <w:pPr>
              <w:spacing w:before="109" w:line="219" w:lineRule="auto"/>
              <w:ind w:left="1764"/>
              <w:rPr>
                <w:rFonts w:ascii="宋体" w:hAnsi="宋体" w:eastAsia="宋体" w:cs="宋体"/>
                <w:sz w:val="24"/>
                <w:szCs w:val="24"/>
              </w:rPr>
            </w:pPr>
            <w:r>
              <w:rPr>
                <w:rFonts w:ascii="宋体" w:hAnsi="宋体" w:eastAsia="宋体" w:cs="宋体"/>
                <w:sz w:val="24"/>
                <w:szCs w:val="24"/>
              </w:rPr>
              <w:t>重庆市开州区住房城乡建委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551" w:type="dxa"/>
            <w:gridSpan w:val="3"/>
            <w:vAlign w:val="top"/>
          </w:tcPr>
          <w:p>
            <w:pPr>
              <w:spacing w:before="111" w:line="220" w:lineRule="auto"/>
              <w:ind w:left="1044"/>
              <w:rPr>
                <w:rFonts w:ascii="宋体" w:hAnsi="宋体" w:eastAsia="宋体" w:cs="宋体"/>
                <w:sz w:val="24"/>
                <w:szCs w:val="24"/>
              </w:rPr>
            </w:pPr>
            <w:r>
              <w:rPr>
                <w:rFonts w:ascii="宋体" w:hAnsi="宋体" w:eastAsia="宋体" w:cs="宋体"/>
                <w:spacing w:val="1"/>
                <w:sz w:val="24"/>
                <w:szCs w:val="24"/>
              </w:rPr>
              <w:t>项目实施单位</w:t>
            </w:r>
          </w:p>
        </w:tc>
        <w:tc>
          <w:tcPr>
            <w:tcW w:w="6553" w:type="dxa"/>
            <w:gridSpan w:val="2"/>
            <w:vAlign w:val="top"/>
          </w:tcPr>
          <w:p>
            <w:pPr>
              <w:spacing w:before="109" w:line="219" w:lineRule="auto"/>
              <w:ind w:left="1764"/>
              <w:rPr>
                <w:rFonts w:ascii="宋体" w:hAnsi="宋体" w:eastAsia="宋体" w:cs="宋体"/>
                <w:sz w:val="24"/>
                <w:szCs w:val="24"/>
              </w:rPr>
            </w:pPr>
            <w:r>
              <w:rPr>
                <w:rFonts w:ascii="宋体" w:hAnsi="宋体" w:eastAsia="宋体" w:cs="宋体"/>
                <w:spacing w:val="1"/>
                <w:sz w:val="24"/>
                <w:szCs w:val="24"/>
              </w:rPr>
              <w:t>重庆市开州区住房保障中心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64" w:type="dxa"/>
            <w:vAlign w:val="top"/>
          </w:tcPr>
          <w:p>
            <w:pPr>
              <w:spacing w:before="20" w:line="332" w:lineRule="exact"/>
              <w:ind w:left="184"/>
              <w:rPr>
                <w:rFonts w:ascii="宋体" w:hAnsi="宋体" w:eastAsia="宋体" w:cs="宋体"/>
                <w:sz w:val="24"/>
                <w:szCs w:val="24"/>
              </w:rPr>
            </w:pPr>
            <w:r>
              <w:rPr>
                <w:rFonts w:ascii="宋体" w:hAnsi="宋体" w:eastAsia="宋体" w:cs="宋体"/>
                <w:spacing w:val="7"/>
                <w:position w:val="6"/>
                <w:sz w:val="24"/>
                <w:szCs w:val="24"/>
              </w:rPr>
              <w:t>年度</w:t>
            </w:r>
          </w:p>
          <w:p>
            <w:pPr>
              <w:spacing w:before="1" w:line="220" w:lineRule="auto"/>
              <w:ind w:left="184"/>
              <w:rPr>
                <w:rFonts w:ascii="宋体" w:hAnsi="宋体" w:eastAsia="宋体" w:cs="宋体"/>
                <w:sz w:val="24"/>
                <w:szCs w:val="24"/>
              </w:rPr>
            </w:pPr>
            <w:r>
              <w:rPr>
                <w:rFonts w:ascii="宋体" w:hAnsi="宋体" w:eastAsia="宋体" w:cs="宋体"/>
                <w:spacing w:val="5"/>
                <w:sz w:val="24"/>
                <w:szCs w:val="24"/>
              </w:rPr>
              <w:t>总体</w:t>
            </w:r>
          </w:p>
          <w:p>
            <w:pPr>
              <w:spacing w:before="42" w:line="198" w:lineRule="auto"/>
              <w:ind w:left="184"/>
              <w:rPr>
                <w:rFonts w:ascii="宋体" w:hAnsi="宋体" w:eastAsia="宋体" w:cs="宋体"/>
                <w:sz w:val="24"/>
                <w:szCs w:val="24"/>
              </w:rPr>
            </w:pPr>
            <w:r>
              <w:rPr>
                <w:rFonts w:ascii="宋体" w:hAnsi="宋体" w:eastAsia="宋体" w:cs="宋体"/>
                <w:spacing w:val="9"/>
                <w:sz w:val="24"/>
                <w:szCs w:val="24"/>
              </w:rPr>
              <w:t>目标</w:t>
            </w:r>
          </w:p>
        </w:tc>
        <w:tc>
          <w:tcPr>
            <w:tcW w:w="9240" w:type="dxa"/>
            <w:gridSpan w:val="4"/>
            <w:vAlign w:val="top"/>
          </w:tcPr>
          <w:p>
            <w:pPr>
              <w:spacing w:before="30" w:line="233" w:lineRule="auto"/>
              <w:ind w:left="100" w:right="34" w:firstLine="449"/>
              <w:jc w:val="both"/>
              <w:rPr>
                <w:rFonts w:ascii="宋体" w:hAnsi="宋体" w:eastAsia="宋体" w:cs="宋体"/>
                <w:sz w:val="24"/>
                <w:szCs w:val="24"/>
              </w:rPr>
            </w:pPr>
            <w:r>
              <w:rPr>
                <w:rFonts w:ascii="宋体" w:hAnsi="宋体" w:eastAsia="宋体" w:cs="宋体"/>
                <w:spacing w:val="3"/>
                <w:sz w:val="24"/>
                <w:szCs w:val="24"/>
              </w:rPr>
              <w:t>开展符合条件对象的危房改造工作，对农村低收入群体实施住房安全动态监测，</w:t>
            </w:r>
            <w:r>
              <w:rPr>
                <w:rFonts w:ascii="宋体" w:hAnsi="宋体" w:eastAsia="宋体" w:cs="宋体"/>
                <w:spacing w:val="13"/>
                <w:sz w:val="24"/>
                <w:szCs w:val="24"/>
              </w:rPr>
              <w:t xml:space="preserve"> </w:t>
            </w:r>
            <w:r>
              <w:rPr>
                <w:rFonts w:ascii="宋体" w:hAnsi="宋体" w:eastAsia="宋体" w:cs="宋体"/>
                <w:sz w:val="24"/>
                <w:szCs w:val="24"/>
              </w:rPr>
              <w:t>发现住房安全问题及时解决，符合条件的及时纳入改造范围，确保农村低收入群体住</w:t>
            </w:r>
            <w:r>
              <w:rPr>
                <w:rFonts w:ascii="宋体" w:hAnsi="宋体" w:eastAsia="宋体" w:cs="宋体"/>
                <w:spacing w:val="13"/>
                <w:sz w:val="24"/>
                <w:szCs w:val="24"/>
              </w:rPr>
              <w:t xml:space="preserve"> </w:t>
            </w:r>
            <w:r>
              <w:rPr>
                <w:rFonts w:ascii="宋体" w:hAnsi="宋体" w:eastAsia="宋体" w:cs="宋体"/>
                <w:spacing w:val="14"/>
                <w:sz w:val="24"/>
                <w:szCs w:val="24"/>
              </w:rPr>
              <w:t>房安全应保尽保。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64"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231" w:lineRule="auto"/>
              <w:ind w:left="184"/>
              <w:rPr>
                <w:rFonts w:ascii="宋体" w:hAnsi="宋体" w:eastAsia="宋体" w:cs="宋体"/>
                <w:sz w:val="24"/>
                <w:szCs w:val="24"/>
              </w:rPr>
            </w:pPr>
            <w:r>
              <w:rPr>
                <w:rFonts w:ascii="宋体" w:hAnsi="宋体" w:eastAsia="宋体" w:cs="宋体"/>
                <w:spacing w:val="5"/>
                <w:sz w:val="24"/>
                <w:szCs w:val="24"/>
              </w:rPr>
              <w:t>绩效</w:t>
            </w:r>
          </w:p>
          <w:p>
            <w:pPr>
              <w:spacing w:line="220" w:lineRule="auto"/>
              <w:ind w:left="184"/>
              <w:rPr>
                <w:rFonts w:ascii="宋体" w:hAnsi="宋体" w:eastAsia="宋体" w:cs="宋体"/>
                <w:sz w:val="24"/>
                <w:szCs w:val="24"/>
              </w:rPr>
            </w:pPr>
            <w:r>
              <w:rPr>
                <w:rFonts w:ascii="宋体" w:hAnsi="宋体" w:eastAsia="宋体" w:cs="宋体"/>
                <w:spacing w:val="4"/>
                <w:sz w:val="24"/>
                <w:szCs w:val="24"/>
              </w:rPr>
              <w:t>指标</w:t>
            </w:r>
          </w:p>
        </w:tc>
        <w:tc>
          <w:tcPr>
            <w:tcW w:w="1259" w:type="dxa"/>
            <w:vAlign w:val="top"/>
          </w:tcPr>
          <w:p>
            <w:pPr>
              <w:spacing w:before="72" w:line="220" w:lineRule="auto"/>
              <w:ind w:left="140"/>
              <w:rPr>
                <w:rFonts w:ascii="宋体" w:hAnsi="宋体" w:eastAsia="宋体" w:cs="宋体"/>
                <w:sz w:val="24"/>
                <w:szCs w:val="24"/>
              </w:rPr>
            </w:pPr>
            <w:r>
              <w:rPr>
                <w:rFonts w:ascii="宋体" w:hAnsi="宋体" w:eastAsia="宋体" w:cs="宋体"/>
                <w:spacing w:val="2"/>
                <w:sz w:val="24"/>
                <w:szCs w:val="24"/>
              </w:rPr>
              <w:t>一级指标</w:t>
            </w:r>
          </w:p>
        </w:tc>
        <w:tc>
          <w:tcPr>
            <w:tcW w:w="1428" w:type="dxa"/>
            <w:vAlign w:val="top"/>
          </w:tcPr>
          <w:p>
            <w:pPr>
              <w:spacing w:before="72" w:line="220" w:lineRule="auto"/>
              <w:ind w:left="222"/>
              <w:rPr>
                <w:rFonts w:ascii="宋体" w:hAnsi="宋体" w:eastAsia="宋体" w:cs="宋体"/>
                <w:sz w:val="24"/>
                <w:szCs w:val="24"/>
              </w:rPr>
            </w:pPr>
            <w:r>
              <w:rPr>
                <w:rFonts w:ascii="宋体" w:hAnsi="宋体" w:eastAsia="宋体" w:cs="宋体"/>
                <w:spacing w:val="2"/>
                <w:sz w:val="24"/>
                <w:szCs w:val="24"/>
              </w:rPr>
              <w:t>二级指标</w:t>
            </w:r>
          </w:p>
        </w:tc>
        <w:tc>
          <w:tcPr>
            <w:tcW w:w="3996" w:type="dxa"/>
            <w:vAlign w:val="top"/>
          </w:tcPr>
          <w:p>
            <w:pPr>
              <w:spacing w:before="72" w:line="220" w:lineRule="auto"/>
              <w:ind w:left="1484"/>
              <w:rPr>
                <w:rFonts w:ascii="宋体" w:hAnsi="宋体" w:eastAsia="宋体" w:cs="宋体"/>
                <w:sz w:val="24"/>
                <w:szCs w:val="24"/>
              </w:rPr>
            </w:pPr>
            <w:r>
              <w:rPr>
                <w:rFonts w:ascii="宋体" w:hAnsi="宋体" w:eastAsia="宋体" w:cs="宋体"/>
                <w:spacing w:val="12"/>
                <w:sz w:val="24"/>
                <w:szCs w:val="24"/>
              </w:rPr>
              <w:t>三级指标</w:t>
            </w:r>
          </w:p>
        </w:tc>
        <w:tc>
          <w:tcPr>
            <w:tcW w:w="2557" w:type="dxa"/>
            <w:vAlign w:val="top"/>
          </w:tcPr>
          <w:p>
            <w:pPr>
              <w:spacing w:before="71" w:line="219" w:lineRule="auto"/>
              <w:ind w:left="847"/>
              <w:rPr>
                <w:rFonts w:ascii="宋体" w:hAnsi="宋体" w:eastAsia="宋体" w:cs="宋体"/>
                <w:sz w:val="24"/>
                <w:szCs w:val="24"/>
              </w:rPr>
            </w:pPr>
            <w:r>
              <w:rPr>
                <w:rFonts w:ascii="宋体" w:hAnsi="宋体" w:eastAsia="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64" w:type="dxa"/>
            <w:vMerge w:val="continue"/>
            <w:tcBorders>
              <w:top w:val="nil"/>
              <w:bottom w:val="nil"/>
            </w:tcBorders>
            <w:vAlign w:val="top"/>
          </w:tcPr>
          <w:p>
            <w:pPr>
              <w:rPr>
                <w:rFonts w:ascii="Arial"/>
                <w:sz w:val="21"/>
              </w:rPr>
            </w:pPr>
          </w:p>
        </w:tc>
        <w:tc>
          <w:tcPr>
            <w:tcW w:w="1259"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8" w:line="219" w:lineRule="auto"/>
              <w:ind w:left="140"/>
              <w:rPr>
                <w:rFonts w:ascii="宋体" w:hAnsi="宋体" w:eastAsia="宋体" w:cs="宋体"/>
                <w:sz w:val="24"/>
                <w:szCs w:val="24"/>
              </w:rPr>
            </w:pPr>
            <w:r>
              <w:rPr>
                <w:rFonts w:ascii="宋体" w:hAnsi="宋体" w:eastAsia="宋体" w:cs="宋体"/>
                <w:spacing w:val="-2"/>
                <w:sz w:val="24"/>
                <w:szCs w:val="24"/>
              </w:rPr>
              <w:t>产出指标</w:t>
            </w:r>
          </w:p>
        </w:tc>
        <w:tc>
          <w:tcPr>
            <w:tcW w:w="1428" w:type="dxa"/>
            <w:vAlign w:val="top"/>
          </w:tcPr>
          <w:p>
            <w:pPr>
              <w:spacing w:before="112" w:line="219" w:lineRule="auto"/>
              <w:ind w:left="222"/>
              <w:rPr>
                <w:rFonts w:ascii="宋体" w:hAnsi="宋体" w:eastAsia="宋体" w:cs="宋体"/>
                <w:sz w:val="24"/>
                <w:szCs w:val="24"/>
              </w:rPr>
            </w:pPr>
            <w:r>
              <w:rPr>
                <w:rFonts w:ascii="宋体" w:hAnsi="宋体" w:eastAsia="宋体" w:cs="宋体"/>
                <w:spacing w:val="2"/>
                <w:sz w:val="24"/>
                <w:szCs w:val="24"/>
              </w:rPr>
              <w:t>数量指标</w:t>
            </w:r>
          </w:p>
        </w:tc>
        <w:tc>
          <w:tcPr>
            <w:tcW w:w="3996" w:type="dxa"/>
            <w:vAlign w:val="top"/>
          </w:tcPr>
          <w:p>
            <w:pPr>
              <w:spacing w:before="112" w:line="219" w:lineRule="auto"/>
              <w:ind w:left="1043"/>
              <w:rPr>
                <w:rFonts w:ascii="宋体" w:hAnsi="宋体" w:eastAsia="宋体" w:cs="宋体"/>
                <w:sz w:val="24"/>
                <w:szCs w:val="24"/>
              </w:rPr>
            </w:pPr>
            <w:r>
              <w:rPr>
                <w:rFonts w:ascii="宋体" w:hAnsi="宋体" w:eastAsia="宋体" w:cs="宋体"/>
                <w:spacing w:val="-2"/>
                <w:sz w:val="24"/>
                <w:szCs w:val="24"/>
              </w:rPr>
              <w:t>重点对象危房改造</w:t>
            </w:r>
          </w:p>
        </w:tc>
        <w:tc>
          <w:tcPr>
            <w:tcW w:w="2557" w:type="dxa"/>
            <w:vAlign w:val="top"/>
          </w:tcPr>
          <w:p>
            <w:pPr>
              <w:spacing w:before="112" w:line="219" w:lineRule="auto"/>
              <w:ind w:left="727"/>
              <w:rPr>
                <w:rFonts w:ascii="宋体" w:hAnsi="宋体" w:eastAsia="宋体" w:cs="宋体"/>
                <w:sz w:val="24"/>
                <w:szCs w:val="24"/>
              </w:rPr>
            </w:pPr>
            <w:r>
              <w:rPr>
                <w:rFonts w:ascii="宋体" w:hAnsi="宋体" w:eastAsia="宋体" w:cs="宋体"/>
                <w:spacing w:val="-2"/>
                <w:sz w:val="24"/>
                <w:szCs w:val="24"/>
              </w:rPr>
              <w:t>应改尽改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428" w:type="dxa"/>
            <w:vMerge w:val="restart"/>
            <w:tcBorders>
              <w:bottom w:val="nil"/>
            </w:tcBorders>
            <w:vAlign w:val="top"/>
          </w:tcPr>
          <w:p>
            <w:pPr>
              <w:spacing w:before="232" w:line="220" w:lineRule="auto"/>
              <w:ind w:left="222"/>
              <w:rPr>
                <w:rFonts w:ascii="宋体" w:hAnsi="宋体" w:eastAsia="宋体" w:cs="宋体"/>
                <w:sz w:val="24"/>
                <w:szCs w:val="24"/>
              </w:rPr>
            </w:pPr>
            <w:r>
              <w:rPr>
                <w:rFonts w:ascii="宋体" w:hAnsi="宋体" w:eastAsia="宋体" w:cs="宋体"/>
                <w:spacing w:val="-2"/>
                <w:sz w:val="24"/>
                <w:szCs w:val="24"/>
              </w:rPr>
              <w:t>质量指标</w:t>
            </w:r>
          </w:p>
        </w:tc>
        <w:tc>
          <w:tcPr>
            <w:tcW w:w="3996" w:type="dxa"/>
            <w:vAlign w:val="top"/>
          </w:tcPr>
          <w:p>
            <w:pPr>
              <w:spacing w:before="61" w:line="219" w:lineRule="auto"/>
              <w:ind w:left="783"/>
              <w:rPr>
                <w:rFonts w:ascii="宋体" w:hAnsi="宋体" w:eastAsia="宋体" w:cs="宋体"/>
                <w:sz w:val="24"/>
                <w:szCs w:val="24"/>
              </w:rPr>
            </w:pPr>
            <w:r>
              <w:rPr>
                <w:rFonts w:ascii="宋体" w:hAnsi="宋体" w:eastAsia="宋体" w:cs="宋体"/>
                <w:spacing w:val="1"/>
                <w:sz w:val="24"/>
                <w:szCs w:val="24"/>
              </w:rPr>
              <w:t>改造后房屋验收合格率</w:t>
            </w:r>
          </w:p>
        </w:tc>
        <w:tc>
          <w:tcPr>
            <w:tcW w:w="2557" w:type="dxa"/>
            <w:vAlign w:val="top"/>
          </w:tcPr>
          <w:p>
            <w:pPr>
              <w:spacing w:before="122" w:line="175" w:lineRule="auto"/>
              <w:ind w:left="967"/>
              <w:rPr>
                <w:rFonts w:ascii="宋体" w:hAnsi="宋体" w:eastAsia="宋体" w:cs="宋体"/>
                <w:sz w:val="24"/>
                <w:szCs w:val="24"/>
              </w:rPr>
            </w:pPr>
            <w:r>
              <w:rPr>
                <w:rFonts w:ascii="宋体" w:hAnsi="宋体" w:eastAsia="宋体" w:cs="宋体"/>
                <w:spacing w:val="-6"/>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428" w:type="dxa"/>
            <w:vMerge w:val="continue"/>
            <w:tcBorders>
              <w:top w:val="nil"/>
            </w:tcBorders>
            <w:vAlign w:val="top"/>
          </w:tcPr>
          <w:p>
            <w:pPr>
              <w:rPr>
                <w:rFonts w:ascii="Arial"/>
                <w:sz w:val="21"/>
              </w:rPr>
            </w:pPr>
          </w:p>
        </w:tc>
        <w:tc>
          <w:tcPr>
            <w:tcW w:w="3996" w:type="dxa"/>
            <w:vAlign w:val="top"/>
          </w:tcPr>
          <w:p>
            <w:pPr>
              <w:spacing w:before="52" w:line="220" w:lineRule="auto"/>
              <w:ind w:left="1504"/>
              <w:rPr>
                <w:rFonts w:ascii="宋体" w:hAnsi="宋体" w:eastAsia="宋体" w:cs="宋体"/>
                <w:sz w:val="24"/>
                <w:szCs w:val="24"/>
              </w:rPr>
            </w:pPr>
            <w:r>
              <w:rPr>
                <w:rFonts w:ascii="宋体" w:hAnsi="宋体" w:eastAsia="宋体" w:cs="宋体"/>
                <w:spacing w:val="-2"/>
                <w:sz w:val="24"/>
                <w:szCs w:val="24"/>
              </w:rPr>
              <w:t>农房设计</w:t>
            </w:r>
          </w:p>
        </w:tc>
        <w:tc>
          <w:tcPr>
            <w:tcW w:w="2557" w:type="dxa"/>
            <w:vAlign w:val="top"/>
          </w:tcPr>
          <w:p>
            <w:pPr>
              <w:spacing w:before="50" w:line="219" w:lineRule="auto"/>
              <w:ind w:left="607"/>
              <w:rPr>
                <w:rFonts w:ascii="宋体" w:hAnsi="宋体" w:eastAsia="宋体" w:cs="宋体"/>
                <w:sz w:val="24"/>
                <w:szCs w:val="24"/>
              </w:rPr>
            </w:pPr>
            <w:r>
              <w:rPr>
                <w:rFonts w:ascii="宋体" w:hAnsi="宋体" w:eastAsia="宋体" w:cs="宋体"/>
                <w:spacing w:val="2"/>
                <w:sz w:val="24"/>
                <w:szCs w:val="24"/>
              </w:rPr>
              <w:t>有基本设计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428" w:type="dxa"/>
            <w:vAlign w:val="top"/>
          </w:tcPr>
          <w:p>
            <w:pPr>
              <w:spacing w:before="113" w:line="220" w:lineRule="auto"/>
              <w:ind w:left="222"/>
              <w:rPr>
                <w:rFonts w:ascii="宋体" w:hAnsi="宋体" w:eastAsia="宋体" w:cs="宋体"/>
                <w:sz w:val="24"/>
                <w:szCs w:val="24"/>
              </w:rPr>
            </w:pPr>
            <w:r>
              <w:rPr>
                <w:rFonts w:ascii="宋体" w:hAnsi="宋体" w:eastAsia="宋体" w:cs="宋体"/>
                <w:spacing w:val="2"/>
                <w:sz w:val="24"/>
                <w:szCs w:val="24"/>
              </w:rPr>
              <w:t>时效指标</w:t>
            </w:r>
          </w:p>
        </w:tc>
        <w:tc>
          <w:tcPr>
            <w:tcW w:w="3996" w:type="dxa"/>
            <w:vAlign w:val="top"/>
          </w:tcPr>
          <w:p>
            <w:pPr>
              <w:spacing w:before="112" w:line="219" w:lineRule="auto"/>
              <w:ind w:left="443"/>
              <w:rPr>
                <w:rFonts w:ascii="宋体" w:hAnsi="宋体" w:eastAsia="宋体" w:cs="宋体"/>
                <w:sz w:val="24"/>
                <w:szCs w:val="24"/>
              </w:rPr>
            </w:pPr>
            <w:r>
              <w:rPr>
                <w:rFonts w:ascii="宋体" w:hAnsi="宋体" w:eastAsia="宋体" w:cs="宋体"/>
                <w:sz w:val="24"/>
                <w:szCs w:val="24"/>
              </w:rPr>
              <w:t>重点对象危房改造当年开工率</w:t>
            </w:r>
          </w:p>
        </w:tc>
        <w:tc>
          <w:tcPr>
            <w:tcW w:w="2557" w:type="dxa"/>
            <w:vAlign w:val="top"/>
          </w:tcPr>
          <w:p>
            <w:pPr>
              <w:spacing w:before="173" w:line="184" w:lineRule="auto"/>
              <w:ind w:left="967"/>
              <w:rPr>
                <w:rFonts w:ascii="宋体" w:hAnsi="宋体" w:eastAsia="宋体" w:cs="宋体"/>
                <w:sz w:val="24"/>
                <w:szCs w:val="24"/>
              </w:rPr>
            </w:pPr>
            <w:r>
              <w:rPr>
                <w:rFonts w:ascii="宋体" w:hAnsi="宋体" w:eastAsia="宋体" w:cs="宋体"/>
                <w:spacing w:val="-6"/>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428" w:type="dxa"/>
            <w:vMerge w:val="restart"/>
            <w:tcBorders>
              <w:bottom w:val="nil"/>
            </w:tcBorders>
            <w:vAlign w:val="top"/>
          </w:tcPr>
          <w:p>
            <w:pPr>
              <w:spacing w:line="361" w:lineRule="auto"/>
              <w:rPr>
                <w:rFonts w:ascii="Arial"/>
                <w:sz w:val="21"/>
              </w:rPr>
            </w:pPr>
          </w:p>
          <w:p>
            <w:pPr>
              <w:spacing w:before="78" w:line="219" w:lineRule="auto"/>
              <w:ind w:left="222"/>
              <w:rPr>
                <w:rFonts w:ascii="宋体" w:hAnsi="宋体" w:eastAsia="宋体" w:cs="宋体"/>
                <w:sz w:val="24"/>
                <w:szCs w:val="24"/>
              </w:rPr>
            </w:pPr>
            <w:r>
              <w:rPr>
                <w:rFonts w:ascii="宋体" w:hAnsi="宋体" w:eastAsia="宋体" w:cs="宋体"/>
                <w:spacing w:val="2"/>
                <w:sz w:val="24"/>
                <w:szCs w:val="24"/>
              </w:rPr>
              <w:t>成本指标</w:t>
            </w:r>
          </w:p>
        </w:tc>
        <w:tc>
          <w:tcPr>
            <w:tcW w:w="3996" w:type="dxa"/>
            <w:vAlign w:val="top"/>
          </w:tcPr>
          <w:p>
            <w:pPr>
              <w:spacing w:before="31" w:line="219" w:lineRule="auto"/>
              <w:ind w:left="113"/>
              <w:rPr>
                <w:rFonts w:ascii="宋体" w:hAnsi="宋体" w:eastAsia="宋体" w:cs="宋体"/>
                <w:sz w:val="24"/>
                <w:szCs w:val="24"/>
              </w:rPr>
            </w:pPr>
            <w:r>
              <w:rPr>
                <w:rFonts w:ascii="宋体" w:hAnsi="宋体" w:eastAsia="宋体" w:cs="宋体"/>
                <w:spacing w:val="-1"/>
                <w:sz w:val="24"/>
                <w:szCs w:val="24"/>
              </w:rPr>
              <w:t>农村危房改造执行分类分级补助标</w:t>
            </w:r>
          </w:p>
          <w:p>
            <w:pPr>
              <w:spacing w:before="36" w:line="205" w:lineRule="auto"/>
              <w:ind w:left="113"/>
              <w:rPr>
                <w:rFonts w:ascii="宋体" w:hAnsi="宋体" w:eastAsia="宋体" w:cs="宋体"/>
                <w:sz w:val="24"/>
                <w:szCs w:val="24"/>
              </w:rPr>
            </w:pPr>
            <w:r>
              <w:rPr>
                <w:rFonts w:ascii="宋体" w:hAnsi="宋体" w:eastAsia="宋体" w:cs="宋体"/>
                <w:sz w:val="24"/>
                <w:szCs w:val="24"/>
              </w:rPr>
              <w:t>准，对深度贫困地区特困户倾斜支持</w:t>
            </w:r>
          </w:p>
        </w:tc>
        <w:tc>
          <w:tcPr>
            <w:tcW w:w="2557" w:type="dxa"/>
            <w:vAlign w:val="top"/>
          </w:tcPr>
          <w:p>
            <w:pPr>
              <w:spacing w:before="253" w:line="184" w:lineRule="auto"/>
              <w:ind w:left="967"/>
              <w:rPr>
                <w:rFonts w:ascii="宋体" w:hAnsi="宋体" w:eastAsia="宋体" w:cs="宋体"/>
                <w:sz w:val="24"/>
                <w:szCs w:val="24"/>
              </w:rPr>
            </w:pPr>
            <w:r>
              <w:rPr>
                <w:rFonts w:ascii="宋体" w:hAnsi="宋体" w:eastAsia="宋体" w:cs="宋体"/>
                <w:spacing w:val="-6"/>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tcBorders>
            <w:vAlign w:val="top"/>
          </w:tcPr>
          <w:p>
            <w:pPr>
              <w:rPr>
                <w:rFonts w:ascii="Arial"/>
                <w:sz w:val="21"/>
              </w:rPr>
            </w:pPr>
          </w:p>
        </w:tc>
        <w:tc>
          <w:tcPr>
            <w:tcW w:w="1428" w:type="dxa"/>
            <w:vMerge w:val="continue"/>
            <w:tcBorders>
              <w:top w:val="nil"/>
            </w:tcBorders>
            <w:vAlign w:val="top"/>
          </w:tcPr>
          <w:p>
            <w:pPr>
              <w:rPr>
                <w:rFonts w:ascii="Arial"/>
                <w:sz w:val="21"/>
              </w:rPr>
            </w:pPr>
          </w:p>
        </w:tc>
        <w:tc>
          <w:tcPr>
            <w:tcW w:w="3996" w:type="dxa"/>
            <w:vAlign w:val="top"/>
          </w:tcPr>
          <w:p>
            <w:pPr>
              <w:spacing w:before="122" w:line="219" w:lineRule="auto"/>
              <w:ind w:left="313"/>
              <w:rPr>
                <w:rFonts w:ascii="宋体" w:hAnsi="宋体" w:eastAsia="宋体" w:cs="宋体"/>
                <w:sz w:val="24"/>
                <w:szCs w:val="24"/>
              </w:rPr>
            </w:pPr>
            <w:r>
              <w:rPr>
                <w:rFonts w:ascii="宋体" w:hAnsi="宋体" w:eastAsia="宋体" w:cs="宋体"/>
                <w:sz w:val="24"/>
                <w:szCs w:val="24"/>
              </w:rPr>
              <w:t>科学选择改造方式减轻农户负担</w:t>
            </w:r>
          </w:p>
        </w:tc>
        <w:tc>
          <w:tcPr>
            <w:tcW w:w="2557" w:type="dxa"/>
            <w:vAlign w:val="top"/>
          </w:tcPr>
          <w:p>
            <w:pPr>
              <w:spacing w:before="124" w:line="220" w:lineRule="auto"/>
              <w:ind w:left="727"/>
              <w:rPr>
                <w:rFonts w:ascii="宋体" w:hAnsi="宋体" w:eastAsia="宋体" w:cs="宋体"/>
                <w:sz w:val="24"/>
                <w:szCs w:val="24"/>
              </w:rPr>
            </w:pPr>
            <w:r>
              <w:rPr>
                <w:rFonts w:ascii="宋体" w:hAnsi="宋体" w:eastAsia="宋体" w:cs="宋体"/>
                <w:spacing w:val="3"/>
                <w:sz w:val="24"/>
                <w:szCs w:val="24"/>
              </w:rPr>
              <w:t>因地制宜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64" w:type="dxa"/>
            <w:vMerge w:val="continue"/>
            <w:tcBorders>
              <w:top w:val="nil"/>
              <w:bottom w:val="nil"/>
            </w:tcBorders>
            <w:vAlign w:val="top"/>
          </w:tcPr>
          <w:p>
            <w:pPr>
              <w:rPr>
                <w:rFonts w:ascii="Arial"/>
                <w:sz w:val="21"/>
              </w:rPr>
            </w:pPr>
          </w:p>
        </w:tc>
        <w:tc>
          <w:tcPr>
            <w:tcW w:w="125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220" w:lineRule="auto"/>
              <w:ind w:left="140"/>
              <w:rPr>
                <w:rFonts w:ascii="宋体" w:hAnsi="宋体" w:eastAsia="宋体" w:cs="宋体"/>
                <w:sz w:val="24"/>
                <w:szCs w:val="24"/>
              </w:rPr>
            </w:pPr>
            <w:r>
              <w:rPr>
                <w:rFonts w:ascii="宋体" w:hAnsi="宋体" w:eastAsia="宋体" w:cs="宋体"/>
                <w:spacing w:val="2"/>
                <w:sz w:val="24"/>
                <w:szCs w:val="24"/>
              </w:rPr>
              <w:t>效益指标</w:t>
            </w:r>
          </w:p>
        </w:tc>
        <w:tc>
          <w:tcPr>
            <w:tcW w:w="142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30" w:lineRule="auto"/>
              <w:ind w:left="581" w:right="100" w:hanging="480"/>
              <w:rPr>
                <w:rFonts w:ascii="宋体" w:hAnsi="宋体" w:eastAsia="宋体" w:cs="宋体"/>
                <w:sz w:val="24"/>
                <w:szCs w:val="24"/>
              </w:rPr>
            </w:pPr>
            <w:r>
              <w:rPr>
                <w:rFonts w:ascii="宋体" w:hAnsi="宋体" w:eastAsia="宋体" w:cs="宋体"/>
                <w:spacing w:val="3"/>
                <w:sz w:val="24"/>
                <w:szCs w:val="24"/>
              </w:rPr>
              <w:t>社会效益指</w:t>
            </w:r>
            <w:r>
              <w:rPr>
                <w:rFonts w:ascii="宋体" w:hAnsi="宋体" w:eastAsia="宋体" w:cs="宋体"/>
                <w:sz w:val="24"/>
                <w:szCs w:val="24"/>
              </w:rPr>
              <w:t xml:space="preserve"> 标</w:t>
            </w:r>
          </w:p>
        </w:tc>
        <w:tc>
          <w:tcPr>
            <w:tcW w:w="3996" w:type="dxa"/>
            <w:vAlign w:val="top"/>
          </w:tcPr>
          <w:p>
            <w:pPr>
              <w:spacing w:before="72" w:line="214" w:lineRule="auto"/>
              <w:ind w:left="1052" w:right="260" w:hanging="939"/>
              <w:rPr>
                <w:rFonts w:ascii="宋体" w:hAnsi="宋体" w:eastAsia="宋体" w:cs="宋体"/>
                <w:sz w:val="24"/>
                <w:szCs w:val="24"/>
              </w:rPr>
            </w:pPr>
            <w:r>
              <w:rPr>
                <w:rFonts w:ascii="宋体" w:hAnsi="宋体" w:eastAsia="宋体" w:cs="宋体"/>
                <w:sz w:val="24"/>
                <w:szCs w:val="24"/>
              </w:rPr>
              <w:t>改造后房屋在相当于本地区抗震设</w:t>
            </w:r>
            <w:r>
              <w:rPr>
                <w:rFonts w:ascii="宋体" w:hAnsi="宋体" w:eastAsia="宋体" w:cs="宋体"/>
                <w:spacing w:val="10"/>
                <w:sz w:val="24"/>
                <w:szCs w:val="24"/>
              </w:rPr>
              <w:t xml:space="preserve"> </w:t>
            </w:r>
            <w:r>
              <w:rPr>
                <w:rFonts w:ascii="宋体" w:hAnsi="宋体" w:eastAsia="宋体" w:cs="宋体"/>
                <w:spacing w:val="1"/>
                <w:sz w:val="24"/>
                <w:szCs w:val="24"/>
              </w:rPr>
              <w:t>防烈度地震中表现</w:t>
            </w:r>
          </w:p>
        </w:tc>
        <w:tc>
          <w:tcPr>
            <w:tcW w:w="2557" w:type="dxa"/>
            <w:vAlign w:val="top"/>
          </w:tcPr>
          <w:p>
            <w:pPr>
              <w:spacing w:before="204" w:line="220" w:lineRule="auto"/>
              <w:ind w:left="607"/>
              <w:rPr>
                <w:rFonts w:ascii="宋体" w:hAnsi="宋体" w:eastAsia="宋体" w:cs="宋体"/>
                <w:sz w:val="24"/>
                <w:szCs w:val="24"/>
              </w:rPr>
            </w:pPr>
            <w:r>
              <w:rPr>
                <w:rFonts w:ascii="宋体" w:hAnsi="宋体" w:eastAsia="宋体" w:cs="宋体"/>
                <w:spacing w:val="2"/>
                <w:sz w:val="24"/>
                <w:szCs w:val="24"/>
              </w:rPr>
              <w:t>无严重损毁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428" w:type="dxa"/>
            <w:vMerge w:val="continue"/>
            <w:tcBorders>
              <w:top w:val="nil"/>
              <w:bottom w:val="nil"/>
            </w:tcBorders>
            <w:vAlign w:val="top"/>
          </w:tcPr>
          <w:p>
            <w:pPr>
              <w:rPr>
                <w:rFonts w:ascii="Arial"/>
                <w:sz w:val="21"/>
              </w:rPr>
            </w:pPr>
          </w:p>
        </w:tc>
        <w:tc>
          <w:tcPr>
            <w:tcW w:w="3996" w:type="dxa"/>
            <w:vAlign w:val="top"/>
          </w:tcPr>
          <w:p>
            <w:pPr>
              <w:spacing w:before="123" w:line="219" w:lineRule="auto"/>
              <w:ind w:left="113"/>
              <w:rPr>
                <w:rFonts w:ascii="宋体" w:hAnsi="宋体" w:eastAsia="宋体" w:cs="宋体"/>
                <w:sz w:val="24"/>
                <w:szCs w:val="24"/>
              </w:rPr>
            </w:pPr>
            <w:r>
              <w:rPr>
                <w:rFonts w:ascii="宋体" w:hAnsi="宋体" w:eastAsia="宋体" w:cs="宋体"/>
                <w:sz w:val="24"/>
                <w:szCs w:val="24"/>
              </w:rPr>
              <w:t>人畜分离、卫生厕所灯基本卫生条件</w:t>
            </w:r>
          </w:p>
        </w:tc>
        <w:tc>
          <w:tcPr>
            <w:tcW w:w="2557" w:type="dxa"/>
            <w:vAlign w:val="top"/>
          </w:tcPr>
          <w:p>
            <w:pPr>
              <w:spacing w:before="123" w:line="219" w:lineRule="auto"/>
              <w:ind w:left="727"/>
              <w:rPr>
                <w:rFonts w:ascii="宋体" w:hAnsi="宋体" w:eastAsia="宋体" w:cs="宋体"/>
                <w:sz w:val="24"/>
                <w:szCs w:val="24"/>
              </w:rPr>
            </w:pPr>
            <w:r>
              <w:rPr>
                <w:rFonts w:ascii="宋体" w:hAnsi="宋体" w:eastAsia="宋体" w:cs="宋体"/>
                <w:spacing w:val="-2"/>
                <w:sz w:val="24"/>
                <w:szCs w:val="24"/>
              </w:rPr>
              <w:t>基本保障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428" w:type="dxa"/>
            <w:vMerge w:val="continue"/>
            <w:tcBorders>
              <w:top w:val="nil"/>
            </w:tcBorders>
            <w:vAlign w:val="top"/>
          </w:tcPr>
          <w:p>
            <w:pPr>
              <w:rPr>
                <w:rFonts w:ascii="Arial"/>
                <w:sz w:val="21"/>
              </w:rPr>
            </w:pPr>
          </w:p>
        </w:tc>
        <w:tc>
          <w:tcPr>
            <w:tcW w:w="3996" w:type="dxa"/>
            <w:vAlign w:val="top"/>
          </w:tcPr>
          <w:p>
            <w:pPr>
              <w:spacing w:before="65" w:line="219" w:lineRule="auto"/>
              <w:ind w:left="113"/>
              <w:rPr>
                <w:rFonts w:ascii="宋体" w:hAnsi="宋体" w:eastAsia="宋体" w:cs="宋体"/>
                <w:sz w:val="24"/>
                <w:szCs w:val="24"/>
              </w:rPr>
            </w:pPr>
            <w:r>
              <w:rPr>
                <w:rFonts w:ascii="宋体" w:hAnsi="宋体" w:eastAsia="宋体" w:cs="宋体"/>
                <w:sz w:val="24"/>
                <w:szCs w:val="24"/>
              </w:rPr>
              <w:t>贫困县可按照统筹整合使用财政涉</w:t>
            </w:r>
          </w:p>
          <w:p>
            <w:pPr>
              <w:spacing w:before="15" w:line="237" w:lineRule="auto"/>
              <w:ind w:left="113" w:right="18"/>
              <w:rPr>
                <w:rFonts w:ascii="宋体" w:hAnsi="宋体" w:eastAsia="宋体" w:cs="宋体"/>
                <w:sz w:val="24"/>
                <w:szCs w:val="24"/>
              </w:rPr>
            </w:pPr>
            <w:r>
              <w:rPr>
                <w:rFonts w:ascii="宋体" w:hAnsi="宋体" w:eastAsia="宋体" w:cs="宋体"/>
                <w:spacing w:val="-1"/>
                <w:sz w:val="24"/>
                <w:szCs w:val="24"/>
              </w:rPr>
              <w:t>农资金的相关要求，依据当地脱贫攻</w:t>
            </w:r>
            <w:r>
              <w:rPr>
                <w:rFonts w:ascii="宋体" w:hAnsi="宋体" w:eastAsia="宋体" w:cs="宋体"/>
                <w:spacing w:val="5"/>
                <w:sz w:val="24"/>
                <w:szCs w:val="24"/>
              </w:rPr>
              <w:t xml:space="preserve"> </w:t>
            </w:r>
            <w:r>
              <w:rPr>
                <w:rFonts w:ascii="宋体" w:hAnsi="宋体" w:eastAsia="宋体" w:cs="宋体"/>
                <w:sz w:val="24"/>
                <w:szCs w:val="24"/>
              </w:rPr>
              <w:t>坚规划，在农业生产发展和农村基础</w:t>
            </w:r>
            <w:r>
              <w:rPr>
                <w:rFonts w:ascii="宋体" w:hAnsi="宋体" w:eastAsia="宋体" w:cs="宋体"/>
                <w:spacing w:val="12"/>
                <w:sz w:val="24"/>
                <w:szCs w:val="24"/>
              </w:rPr>
              <w:t xml:space="preserve"> </w:t>
            </w:r>
            <w:r>
              <w:rPr>
                <w:rFonts w:ascii="宋体" w:hAnsi="宋体" w:eastAsia="宋体" w:cs="宋体"/>
                <w:sz w:val="24"/>
                <w:szCs w:val="24"/>
              </w:rPr>
              <w:t>设施建设的范围内，将资金统筹安排</w:t>
            </w:r>
          </w:p>
          <w:p>
            <w:pPr>
              <w:spacing w:before="25" w:line="194" w:lineRule="auto"/>
              <w:ind w:left="1733"/>
              <w:rPr>
                <w:rFonts w:ascii="宋体" w:hAnsi="宋体" w:eastAsia="宋体" w:cs="宋体"/>
                <w:sz w:val="24"/>
                <w:szCs w:val="24"/>
              </w:rPr>
            </w:pPr>
            <w:r>
              <w:rPr>
                <w:rFonts w:ascii="宋体" w:hAnsi="宋体" w:eastAsia="宋体" w:cs="宋体"/>
                <w:spacing w:val="-6"/>
                <w:sz w:val="24"/>
                <w:szCs w:val="24"/>
              </w:rPr>
              <w:t>使</w:t>
            </w:r>
            <w:r>
              <w:rPr>
                <w:rFonts w:ascii="宋体" w:hAnsi="宋体" w:eastAsia="宋体" w:cs="宋体"/>
                <w:spacing w:val="-29"/>
                <w:sz w:val="24"/>
                <w:szCs w:val="24"/>
              </w:rPr>
              <w:t xml:space="preserve"> </w:t>
            </w:r>
            <w:r>
              <w:rPr>
                <w:rFonts w:ascii="宋体" w:hAnsi="宋体" w:eastAsia="宋体" w:cs="宋体"/>
                <w:spacing w:val="-6"/>
                <w:sz w:val="24"/>
                <w:szCs w:val="24"/>
              </w:rPr>
              <w:t>用</w:t>
            </w:r>
          </w:p>
        </w:tc>
        <w:tc>
          <w:tcPr>
            <w:tcW w:w="2557" w:type="dxa"/>
            <w:vAlign w:val="top"/>
          </w:tcPr>
          <w:p>
            <w:pPr>
              <w:spacing w:line="297" w:lineRule="auto"/>
              <w:rPr>
                <w:rFonts w:ascii="Arial"/>
                <w:sz w:val="21"/>
              </w:rPr>
            </w:pPr>
          </w:p>
          <w:p>
            <w:pPr>
              <w:spacing w:line="297" w:lineRule="auto"/>
              <w:rPr>
                <w:rFonts w:ascii="Arial"/>
                <w:sz w:val="21"/>
              </w:rPr>
            </w:pPr>
          </w:p>
          <w:p>
            <w:pPr>
              <w:spacing w:before="78" w:line="219" w:lineRule="auto"/>
              <w:ind w:left="487"/>
              <w:rPr>
                <w:rFonts w:ascii="宋体" w:hAnsi="宋体" w:eastAsia="宋体" w:cs="宋体"/>
                <w:sz w:val="24"/>
                <w:szCs w:val="24"/>
              </w:rPr>
            </w:pPr>
            <w:r>
              <w:rPr>
                <w:rFonts w:ascii="宋体" w:hAnsi="宋体" w:eastAsia="宋体" w:cs="宋体"/>
                <w:spacing w:val="1"/>
                <w:sz w:val="24"/>
                <w:szCs w:val="24"/>
              </w:rPr>
              <w:t>统筹使用资金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64" w:type="dxa"/>
            <w:vMerge w:val="continue"/>
            <w:tcBorders>
              <w:top w:val="nil"/>
              <w:bottom w:val="nil"/>
            </w:tcBorders>
            <w:vAlign w:val="top"/>
          </w:tcPr>
          <w:p>
            <w:pPr>
              <w:rPr>
                <w:rFonts w:ascii="Arial"/>
                <w:sz w:val="21"/>
              </w:rPr>
            </w:pPr>
          </w:p>
        </w:tc>
        <w:tc>
          <w:tcPr>
            <w:tcW w:w="1259" w:type="dxa"/>
            <w:vMerge w:val="continue"/>
            <w:tcBorders>
              <w:top w:val="nil"/>
            </w:tcBorders>
            <w:vAlign w:val="top"/>
          </w:tcPr>
          <w:p>
            <w:pPr>
              <w:rPr>
                <w:rFonts w:ascii="Arial"/>
                <w:sz w:val="21"/>
              </w:rPr>
            </w:pPr>
          </w:p>
        </w:tc>
        <w:tc>
          <w:tcPr>
            <w:tcW w:w="1428" w:type="dxa"/>
            <w:vAlign w:val="top"/>
          </w:tcPr>
          <w:p>
            <w:pPr>
              <w:spacing w:before="67" w:line="216" w:lineRule="auto"/>
              <w:ind w:left="460" w:right="96" w:hanging="359"/>
              <w:rPr>
                <w:rFonts w:ascii="宋体" w:hAnsi="宋体" w:eastAsia="宋体" w:cs="宋体"/>
                <w:sz w:val="24"/>
                <w:szCs w:val="24"/>
              </w:rPr>
            </w:pPr>
            <w:r>
              <w:rPr>
                <w:rFonts w:ascii="宋体" w:hAnsi="宋体" w:eastAsia="宋体" w:cs="宋体"/>
                <w:spacing w:val="3"/>
                <w:sz w:val="24"/>
                <w:szCs w:val="24"/>
              </w:rPr>
              <w:t xml:space="preserve">可持续影响 </w:t>
            </w:r>
            <w:r>
              <w:rPr>
                <w:rFonts w:ascii="宋体" w:hAnsi="宋体" w:eastAsia="宋体" w:cs="宋体"/>
                <w:spacing w:val="4"/>
                <w:sz w:val="24"/>
                <w:szCs w:val="24"/>
              </w:rPr>
              <w:t>指标</w:t>
            </w:r>
          </w:p>
        </w:tc>
        <w:tc>
          <w:tcPr>
            <w:tcW w:w="3996" w:type="dxa"/>
            <w:vAlign w:val="top"/>
          </w:tcPr>
          <w:p>
            <w:pPr>
              <w:spacing w:before="206" w:line="219" w:lineRule="auto"/>
              <w:ind w:left="113"/>
              <w:rPr>
                <w:rFonts w:ascii="宋体" w:hAnsi="宋体" w:eastAsia="宋体" w:cs="宋体"/>
                <w:sz w:val="24"/>
                <w:szCs w:val="24"/>
              </w:rPr>
            </w:pPr>
            <w:r>
              <w:rPr>
                <w:rFonts w:ascii="宋体" w:hAnsi="宋体" w:eastAsia="宋体" w:cs="宋体"/>
                <w:sz w:val="24"/>
                <w:szCs w:val="24"/>
              </w:rPr>
              <w:t>农村危房改造后房屋保持安全期限</w:t>
            </w:r>
          </w:p>
        </w:tc>
        <w:tc>
          <w:tcPr>
            <w:tcW w:w="2557" w:type="dxa"/>
            <w:vAlign w:val="top"/>
          </w:tcPr>
          <w:p>
            <w:pPr>
              <w:spacing w:before="67" w:line="216" w:lineRule="auto"/>
              <w:ind w:left="127" w:right="363"/>
              <w:rPr>
                <w:rFonts w:ascii="宋体" w:hAnsi="宋体" w:eastAsia="宋体" w:cs="宋体"/>
                <w:sz w:val="24"/>
                <w:szCs w:val="24"/>
              </w:rPr>
            </w:pPr>
            <w:r>
              <w:rPr>
                <w:rFonts w:ascii="宋体" w:hAnsi="宋体" w:eastAsia="宋体" w:cs="宋体"/>
                <w:spacing w:val="-1"/>
                <w:sz w:val="24"/>
                <w:szCs w:val="24"/>
              </w:rPr>
              <w:t>拆除重建的&gt;=3</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t>年</w:t>
            </w:r>
            <w:r>
              <w:rPr>
                <w:rFonts w:ascii="宋体" w:hAnsi="宋体" w:eastAsia="宋体" w:cs="宋体"/>
                <w:sz w:val="24"/>
                <w:szCs w:val="24"/>
              </w:rPr>
              <w:t xml:space="preserve"> </w:t>
            </w:r>
            <w:r>
              <w:rPr>
                <w:rFonts w:ascii="宋体" w:hAnsi="宋体" w:eastAsia="宋体" w:cs="宋体"/>
                <w:spacing w:val="1"/>
                <w:sz w:val="24"/>
                <w:szCs w:val="24"/>
              </w:rPr>
              <w:t>维修加固的&gt;=15年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64" w:type="dxa"/>
            <w:vMerge w:val="continue"/>
            <w:tcBorders>
              <w:top w:val="nil"/>
            </w:tcBorders>
            <w:vAlign w:val="top"/>
          </w:tcPr>
          <w:p>
            <w:pPr>
              <w:rPr>
                <w:rFonts w:ascii="Arial"/>
                <w:sz w:val="21"/>
              </w:rPr>
            </w:pPr>
          </w:p>
        </w:tc>
        <w:tc>
          <w:tcPr>
            <w:tcW w:w="1259" w:type="dxa"/>
            <w:vAlign w:val="top"/>
          </w:tcPr>
          <w:p>
            <w:pPr>
              <w:spacing w:before="69" w:line="210" w:lineRule="auto"/>
              <w:ind w:left="499" w:right="132" w:hanging="359"/>
              <w:rPr>
                <w:rFonts w:ascii="宋体" w:hAnsi="宋体" w:eastAsia="宋体" w:cs="宋体"/>
                <w:sz w:val="24"/>
                <w:szCs w:val="24"/>
              </w:rPr>
            </w:pPr>
            <w:r>
              <w:rPr>
                <w:rFonts w:ascii="宋体" w:hAnsi="宋体" w:eastAsia="宋体" w:cs="宋体"/>
                <w:spacing w:val="3"/>
                <w:sz w:val="24"/>
                <w:szCs w:val="24"/>
              </w:rPr>
              <w:t>满意度指</w:t>
            </w:r>
            <w:r>
              <w:rPr>
                <w:rFonts w:ascii="宋体" w:hAnsi="宋体" w:eastAsia="宋体" w:cs="宋体"/>
                <w:spacing w:val="2"/>
                <w:sz w:val="24"/>
                <w:szCs w:val="24"/>
              </w:rPr>
              <w:t xml:space="preserve"> </w:t>
            </w:r>
            <w:r>
              <w:rPr>
                <w:rFonts w:ascii="宋体" w:hAnsi="宋体" w:eastAsia="宋体" w:cs="宋体"/>
                <w:sz w:val="24"/>
                <w:szCs w:val="24"/>
              </w:rPr>
              <w:t>标</w:t>
            </w:r>
          </w:p>
        </w:tc>
        <w:tc>
          <w:tcPr>
            <w:tcW w:w="1428" w:type="dxa"/>
            <w:vAlign w:val="top"/>
          </w:tcPr>
          <w:p>
            <w:pPr>
              <w:spacing w:before="58" w:line="227" w:lineRule="auto"/>
              <w:ind w:left="221" w:right="104" w:hanging="120"/>
              <w:rPr>
                <w:rFonts w:ascii="宋体" w:hAnsi="宋体" w:eastAsia="宋体" w:cs="宋体"/>
                <w:sz w:val="23"/>
                <w:szCs w:val="23"/>
              </w:rPr>
            </w:pPr>
            <w:r>
              <w:rPr>
                <w:rFonts w:ascii="宋体" w:hAnsi="宋体" w:eastAsia="宋体" w:cs="宋体"/>
                <w:spacing w:val="12"/>
                <w:sz w:val="23"/>
                <w:szCs w:val="23"/>
              </w:rPr>
              <w:t>服务对象满</w:t>
            </w:r>
            <w:r>
              <w:rPr>
                <w:rFonts w:ascii="宋体" w:hAnsi="宋体" w:eastAsia="宋体" w:cs="宋体"/>
                <w:sz w:val="23"/>
                <w:szCs w:val="23"/>
              </w:rPr>
              <w:t xml:space="preserve"> </w:t>
            </w:r>
            <w:r>
              <w:rPr>
                <w:rFonts w:ascii="宋体" w:hAnsi="宋体" w:eastAsia="宋体" w:cs="宋体"/>
                <w:spacing w:val="12"/>
                <w:sz w:val="23"/>
                <w:szCs w:val="23"/>
              </w:rPr>
              <w:t>意度指标</w:t>
            </w:r>
          </w:p>
        </w:tc>
        <w:tc>
          <w:tcPr>
            <w:tcW w:w="3996" w:type="dxa"/>
            <w:vAlign w:val="top"/>
          </w:tcPr>
          <w:p>
            <w:pPr>
              <w:spacing w:before="198" w:line="219" w:lineRule="auto"/>
              <w:ind w:left="1013"/>
              <w:rPr>
                <w:rFonts w:ascii="宋体" w:hAnsi="宋体" w:eastAsia="宋体" w:cs="宋体"/>
                <w:sz w:val="24"/>
                <w:szCs w:val="24"/>
              </w:rPr>
            </w:pPr>
            <w:r>
              <w:rPr>
                <w:rFonts w:ascii="宋体" w:hAnsi="宋体" w:eastAsia="宋体" w:cs="宋体"/>
                <w:spacing w:val="9"/>
                <w:sz w:val="24"/>
                <w:szCs w:val="24"/>
              </w:rPr>
              <w:t>危房改造户满意度</w:t>
            </w:r>
          </w:p>
        </w:tc>
        <w:tc>
          <w:tcPr>
            <w:tcW w:w="2557" w:type="dxa"/>
            <w:vAlign w:val="top"/>
          </w:tcPr>
          <w:p>
            <w:pPr>
              <w:spacing w:before="222"/>
              <w:ind w:left="847"/>
              <w:rPr>
                <w:rFonts w:ascii="宋体" w:hAnsi="宋体" w:eastAsia="宋体" w:cs="宋体"/>
                <w:sz w:val="24"/>
                <w:szCs w:val="24"/>
              </w:rPr>
            </w:pPr>
            <w:r>
              <w:rPr>
                <w:rFonts w:ascii="宋体" w:hAnsi="宋体" w:eastAsia="宋体" w:cs="宋体"/>
                <w:spacing w:val="-5"/>
                <w:sz w:val="24"/>
                <w:szCs w:val="24"/>
              </w:rPr>
              <w:t>&gt;=</w:t>
            </w:r>
            <w:r>
              <w:rPr>
                <w:rFonts w:ascii="宋体" w:hAnsi="宋体" w:eastAsia="宋体" w:cs="宋体"/>
                <w:spacing w:val="32"/>
                <w:sz w:val="24"/>
                <w:szCs w:val="24"/>
              </w:rPr>
              <w:t xml:space="preserve"> </w:t>
            </w:r>
            <w:r>
              <w:rPr>
                <w:rFonts w:ascii="宋体" w:hAnsi="宋体" w:eastAsia="宋体" w:cs="宋体"/>
                <w:spacing w:val="-5"/>
                <w:sz w:val="24"/>
                <w:szCs w:val="24"/>
              </w:rPr>
              <w:t>90%</w:t>
            </w:r>
          </w:p>
        </w:tc>
      </w:tr>
      <w:bookmarkEnd w:id="0"/>
    </w:tbl>
    <w:p/>
    <w:p>
      <w:pPr>
        <w:spacing w:line="29" w:lineRule="exact"/>
      </w:pPr>
    </w:p>
    <w:p>
      <w:pPr>
        <w:rPr>
          <w:rFonts w:ascii="Arial"/>
          <w:sz w:val="21"/>
        </w:rPr>
      </w:pPr>
    </w:p>
    <w:p>
      <w:pPr>
        <w:sectPr>
          <w:footerReference r:id="rId6" w:type="default"/>
          <w:pgSz w:w="11900" w:h="16830"/>
          <w:pgMar w:top="2098" w:right="1446" w:bottom="1644" w:left="1446" w:header="0" w:footer="1445"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0" w:lineRule="exact"/>
        <w:ind w:firstLine="10"/>
        <w:textAlignment w:val="center"/>
      </w:pPr>
      <w:r>
        <w:drawing>
          <wp:inline distT="0" distB="0" distL="0" distR="0">
            <wp:extent cx="5663565" cy="12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5664125" cy="12717"/>
                    </a:xfrm>
                    <a:prstGeom prst="rect">
                      <a:avLst/>
                    </a:prstGeom>
                  </pic:spPr>
                </pic:pic>
              </a:graphicData>
            </a:graphic>
          </wp:inline>
        </w:drawing>
      </w:r>
    </w:p>
    <w:p>
      <w:pPr>
        <w:spacing w:before="148" w:line="222" w:lineRule="auto"/>
        <w:ind w:left="320"/>
        <w:rPr>
          <w:rFonts w:ascii="仿宋" w:hAnsi="仿宋" w:eastAsia="仿宋" w:cs="仿宋"/>
          <w:sz w:val="27"/>
          <w:szCs w:val="27"/>
        </w:rPr>
      </w:pPr>
      <w:r>
        <w:rPr>
          <w:rFonts w:ascii="仿宋" w:hAnsi="仿宋" w:eastAsia="仿宋" w:cs="仿宋"/>
          <w:spacing w:val="22"/>
          <w:sz w:val="27"/>
          <w:szCs w:val="27"/>
        </w:rPr>
        <w:t>重庆市开州区财政局党政办公室</w:t>
      </w:r>
      <w:r>
        <w:rPr>
          <w:rFonts w:ascii="仿宋" w:hAnsi="仿宋" w:eastAsia="仿宋" w:cs="仿宋"/>
          <w:spacing w:val="5"/>
          <w:sz w:val="27"/>
          <w:szCs w:val="27"/>
        </w:rPr>
        <w:t xml:space="preserve">             </w:t>
      </w:r>
      <w:r>
        <w:rPr>
          <w:rFonts w:ascii="仿宋" w:hAnsi="仿宋" w:eastAsia="仿宋" w:cs="仿宋"/>
          <w:spacing w:val="22"/>
          <w:sz w:val="27"/>
          <w:szCs w:val="27"/>
        </w:rPr>
        <w:t>2023年9月5日印发</w:t>
      </w:r>
    </w:p>
    <w:p>
      <w:pPr>
        <w:spacing w:before="156" w:line="20" w:lineRule="exact"/>
        <w:textAlignment w:val="center"/>
      </w:pPr>
      <w:r>
        <w:drawing>
          <wp:inline distT="0" distB="0" distL="0" distR="0">
            <wp:extent cx="5664200" cy="127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5664201" cy="12717"/>
                    </a:xfrm>
                    <a:prstGeom prst="rect">
                      <a:avLst/>
                    </a:prstGeom>
                  </pic:spPr>
                </pic:pic>
              </a:graphicData>
            </a:graphic>
          </wp:inline>
        </w:drawing>
      </w:r>
    </w:p>
    <w:p>
      <w:pPr>
        <w:spacing w:before="260" w:line="183" w:lineRule="auto"/>
        <w:ind w:left="430"/>
        <w:rPr>
          <w:rFonts w:ascii="宋体" w:hAnsi="宋体" w:eastAsia="宋体" w:cs="宋体"/>
          <w:sz w:val="27"/>
          <w:szCs w:val="27"/>
        </w:rPr>
      </w:pPr>
      <w:r>
        <w:rPr>
          <w:rFonts w:ascii="宋体" w:hAnsi="宋体" w:eastAsia="宋体" w:cs="宋体"/>
          <w:spacing w:val="-3"/>
          <w:sz w:val="27"/>
          <w:szCs w:val="27"/>
        </w:rPr>
        <w:t>—4—</w:t>
      </w:r>
    </w:p>
    <w:sectPr>
      <w:footerReference r:id="rId7" w:type="default"/>
      <w:pgSz w:w="11900" w:h="16830"/>
      <w:pgMar w:top="1430" w:right="1340" w:bottom="400" w:left="16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0"/>
      <w:rPr>
        <w:rFonts w:ascii="宋体" w:hAnsi="宋体" w:eastAsia="宋体" w:cs="宋体"/>
        <w:sz w:val="31"/>
        <w:szCs w:val="31"/>
      </w:rPr>
    </w:pPr>
    <w:r>
      <w:rPr>
        <w:rFonts w:ascii="宋体" w:hAnsi="宋体" w:eastAsia="宋体" w:cs="宋体"/>
        <w:spacing w:val="-4"/>
        <w:sz w:val="31"/>
        <w:szCs w:val="31"/>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995"/>
      <w:rPr>
        <w:rFonts w:ascii="宋体" w:hAnsi="宋体" w:eastAsia="宋体" w:cs="宋体"/>
        <w:sz w:val="29"/>
        <w:szCs w:val="29"/>
      </w:rPr>
    </w:pPr>
    <w:r>
      <w:rPr>
        <w:rFonts w:ascii="宋体" w:hAnsi="宋体" w:eastAsia="宋体" w:cs="宋体"/>
        <w:spacing w:val="-3"/>
        <w:sz w:val="29"/>
        <w:szCs w:val="29"/>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U0ODQxMDc2OGJjNjRjMWJhYzhhYTcwMWRjNGVmZjUifQ=="/>
  </w:docVars>
  <w:rsids>
    <w:rsidRoot w:val="00000000"/>
    <w:rsid w:val="21723F5A"/>
    <w:rsid w:val="44753B35"/>
    <w:rsid w:val="54B80D09"/>
    <w:rsid w:val="54EA382C"/>
    <w:rsid w:val="79BC4EE7"/>
    <w:rsid w:val="EAFEF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918</Words>
  <Characters>989</Characters>
  <TotalTime>0</TotalTime>
  <ScaleCrop>false</ScaleCrop>
  <LinksUpToDate>false</LinksUpToDate>
  <CharactersWithSpaces>1018</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2023-10-31T17:41:00Z</dcterms:created>
  <dc:creator>Kingsoft-PDF</dc:creator>
  <cp:lastModifiedBy>user</cp:lastModifiedBy>
  <dcterms:modified xsi:type="dcterms:W3CDTF">2023-10-31T15:05:34Z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2023-10-31T09:41:22Z</vt:filetime>
  </property>
  <property fmtid="{D5CDD505-2E9C-101B-9397-08002B2CF9AE}" pid="4" name="UsrData">
    <vt:lpwstr>65405b3fad9989001ff1558cwl</vt:lpwstr>
  </property>
  <property fmtid="{D5CDD505-2E9C-101B-9397-08002B2CF9AE}" pid="5" name="KSOProductBuildVer">
    <vt:lpwstr>2052-11.8.2.10290</vt:lpwstr>
  </property>
  <property fmtid="{D5CDD505-2E9C-101B-9397-08002B2CF9AE}" pid="6" name="ICV">
    <vt:lpwstr>0900A0C817A045E69746C9A24B7DE46A_12</vt:lpwstr>
  </property>
</Properties>
</file>