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Times New Roman" w:hAnsi="Times New Roman" w:eastAsia="方正小标宋_GBK" w:cs="Times New Roman"/>
          <w:b w:val="0"/>
          <w:bCs w:val="0"/>
          <w:color w:val="auto"/>
          <w:kern w:val="2"/>
          <w:sz w:val="44"/>
          <w:szCs w:val="44"/>
          <w:lang w:val="en-US" w:eastAsia="zh-CN"/>
        </w:rPr>
        <w:t xml:space="preserve"> </w:t>
      </w:r>
      <w:r>
        <w:rPr>
          <w:rFonts w:hint="eastAsia" w:ascii="方正小标宋_GBK" w:hAnsi="方正小标宋_GBK" w:eastAsia="方正小标宋_GBK" w:cs="方正小标宋_GBK"/>
          <w:b w:val="0"/>
          <w:bCs w:val="0"/>
          <w:color w:val="auto"/>
          <w:kern w:val="2"/>
          <w:sz w:val="44"/>
          <w:szCs w:val="44"/>
          <w:lang w:val="en-US" w:eastAsia="zh-CN" w:bidi="ar-SA"/>
        </w:rPr>
        <w:t>重庆市开州区农业农村委员会</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color w:val="auto"/>
          <w:spacing w:val="0"/>
          <w:position w:val="0"/>
          <w:sz w:val="44"/>
          <w:szCs w:val="44"/>
        </w:rPr>
      </w:pPr>
      <w:r>
        <w:rPr>
          <w:rFonts w:hint="default" w:ascii="Times New Roman" w:hAnsi="Times New Roman" w:eastAsia="方正小标宋_GBK" w:cs="Times New Roman"/>
          <w:color w:val="auto"/>
          <w:spacing w:val="0"/>
          <w:position w:val="0"/>
          <w:sz w:val="44"/>
          <w:szCs w:val="44"/>
        </w:rPr>
        <w:t>关于印发《开州区农产品品</w:t>
      </w:r>
      <w:r>
        <w:rPr>
          <w:rFonts w:hint="default" w:ascii="Times New Roman" w:hAnsi="Times New Roman" w:eastAsia="宋体" w:cs="Times New Roman"/>
          <w:b/>
          <w:bCs/>
          <w:color w:val="auto"/>
          <w:spacing w:val="0"/>
          <w:position w:val="0"/>
          <w:sz w:val="44"/>
          <w:szCs w:val="44"/>
        </w:rPr>
        <w:t>牌</w:t>
      </w:r>
      <w:r>
        <w:rPr>
          <w:rFonts w:hint="default" w:ascii="Times New Roman" w:hAnsi="Times New Roman" w:eastAsia="方正小标宋_GBK" w:cs="Times New Roman"/>
          <w:color w:val="auto"/>
          <w:spacing w:val="0"/>
          <w:position w:val="0"/>
          <w:sz w:val="44"/>
          <w:szCs w:val="44"/>
        </w:rPr>
        <w:t>建设奖补实施</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color w:val="auto"/>
          <w:spacing w:val="0"/>
          <w:position w:val="0"/>
          <w:sz w:val="44"/>
          <w:szCs w:val="44"/>
        </w:rPr>
      </w:pPr>
      <w:r>
        <w:rPr>
          <w:rFonts w:hint="default" w:ascii="Times New Roman" w:hAnsi="Times New Roman" w:eastAsia="方正小标宋_GBK" w:cs="Times New Roman"/>
          <w:color w:val="auto"/>
          <w:spacing w:val="0"/>
          <w:position w:val="0"/>
          <w:sz w:val="44"/>
          <w:szCs w:val="44"/>
        </w:rPr>
        <w:t>细则》的通知</w:t>
      </w:r>
    </w:p>
    <w:p>
      <w:pPr>
        <w:widowControl w:val="0"/>
        <w:spacing w:before="0" w:beforeLines="0" w:after="0" w:afterLines="0" w:line="760" w:lineRule="exact"/>
        <w:ind w:firstLine="0" w:firstLineChars="0"/>
        <w:jc w:val="center"/>
        <w:rPr>
          <w:rFonts w:hint="default" w:ascii="Times New Roman" w:hAnsi="Times New Roman" w:eastAsia="方正小标宋_GBK" w:cs="Times New Roman"/>
          <w:b w:val="0"/>
          <w:bCs w:val="0"/>
          <w:color w:val="000000"/>
          <w:kern w:val="2"/>
          <w:sz w:val="44"/>
          <w:szCs w:val="44"/>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开州农</w:t>
      </w:r>
      <w:r>
        <w:rPr>
          <w:rFonts w:hint="eastAsia" w:ascii="Times New Roman" w:hAnsi="Times New Roman" w:eastAsia="方正仿宋_GBK" w:cs="Times New Roman"/>
          <w:b w:val="0"/>
          <w:bCs w:val="0"/>
          <w:color w:val="000000"/>
          <w:kern w:val="2"/>
          <w:sz w:val="32"/>
          <w:szCs w:val="32"/>
          <w:lang w:val="en-US" w:eastAsia="zh-CN" w:bidi="ar-SA"/>
        </w:rPr>
        <w:t>发</w:t>
      </w:r>
      <w:r>
        <w:rPr>
          <w:rFonts w:hint="default" w:ascii="Times New Roman" w:hAnsi="Times New Roman" w:eastAsia="方正仿宋_GBK" w:cs="Times New Roman"/>
          <w:b w:val="0"/>
          <w:bCs w:val="0"/>
          <w:color w:val="000000"/>
          <w:kern w:val="2"/>
          <w:sz w:val="32"/>
          <w:szCs w:val="32"/>
          <w:lang w:val="en-US" w:eastAsia="zh-CN" w:bidi="ar-SA"/>
        </w:rPr>
        <w:t>〔202</w:t>
      </w:r>
      <w:r>
        <w:rPr>
          <w:rFonts w:hint="eastAsia" w:ascii="Times New Roman" w:hAnsi="Times New Roman" w:eastAsia="方正仿宋_GBK" w:cs="Times New Roman"/>
          <w:b w:val="0"/>
          <w:bCs w:val="0"/>
          <w:color w:val="000000"/>
          <w:kern w:val="2"/>
          <w:sz w:val="32"/>
          <w:szCs w:val="32"/>
          <w:lang w:val="en-US" w:eastAsia="zh-CN" w:bidi="ar-SA"/>
        </w:rPr>
        <w:t>3</w:t>
      </w:r>
      <w:r>
        <w:rPr>
          <w:rFonts w:hint="default" w:ascii="Times New Roman" w:hAnsi="Times New Roman" w:eastAsia="方正仿宋_GBK" w:cs="Times New Roman"/>
          <w:b w:val="0"/>
          <w:bCs w:val="0"/>
          <w:color w:val="000000"/>
          <w:kern w:val="2"/>
          <w:sz w:val="32"/>
          <w:szCs w:val="32"/>
          <w:lang w:val="en-US" w:eastAsia="zh-CN" w:bidi="ar-SA"/>
        </w:rPr>
        <w:t>〕</w:t>
      </w:r>
      <w:r>
        <w:rPr>
          <w:rFonts w:hint="eastAsia" w:ascii="Times New Roman" w:hAnsi="Times New Roman" w:cs="Times New Roman"/>
          <w:b w:val="0"/>
          <w:bCs w:val="0"/>
          <w:color w:val="000000"/>
          <w:kern w:val="2"/>
          <w:sz w:val="32"/>
          <w:szCs w:val="32"/>
          <w:lang w:val="en-US" w:eastAsia="zh-CN" w:bidi="ar-SA"/>
        </w:rPr>
        <w:t>59</w:t>
      </w:r>
      <w:r>
        <w:rPr>
          <w:rFonts w:hint="default" w:ascii="Times New Roman" w:hAnsi="Times New Roman" w:eastAsia="方正仿宋_GBK" w:cs="Times New Roman"/>
          <w:b w:val="0"/>
          <w:bCs w:val="0"/>
          <w:color w:val="000000"/>
          <w:kern w:val="2"/>
          <w:sz w:val="32"/>
          <w:szCs w:val="32"/>
          <w:lang w:val="en-US" w:eastAsia="zh-CN" w:bidi="ar-SA"/>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spacing w:val="0"/>
          <w:position w:val="0"/>
          <w:sz w:val="32"/>
          <w:szCs w:val="32"/>
        </w:rPr>
      </w:pPr>
      <w:bookmarkStart w:id="0" w:name="_Hlk8911377"/>
      <w:r>
        <w:rPr>
          <w:rFonts w:hint="default" w:ascii="Times New Roman" w:hAnsi="Times New Roman" w:eastAsia="方正仿宋_GBK" w:cs="Times New Roman"/>
          <w:color w:val="auto"/>
          <w:spacing w:val="0"/>
          <w:position w:val="0"/>
          <w:sz w:val="32"/>
          <w:szCs w:val="32"/>
        </w:rPr>
        <w:t>各乡镇（街道）</w:t>
      </w:r>
      <w:r>
        <w:rPr>
          <w:rFonts w:hint="eastAsia" w:ascii="Times New Roman" w:hAnsi="Times New Roman" w:eastAsia="方正仿宋_GBK" w:cs="Times New Roman"/>
          <w:color w:val="auto"/>
          <w:spacing w:val="0"/>
          <w:position w:val="0"/>
          <w:sz w:val="32"/>
          <w:szCs w:val="32"/>
          <w:lang w:eastAsia="zh-CN"/>
        </w:rPr>
        <w:t>农业服务中心</w:t>
      </w:r>
      <w:r>
        <w:rPr>
          <w:rFonts w:hint="default" w:ascii="Times New Roman" w:hAnsi="Times New Roman" w:eastAsia="方正仿宋_GBK" w:cs="Times New Roman"/>
          <w:color w:val="auto"/>
          <w:spacing w:val="0"/>
          <w:position w:val="0"/>
          <w:sz w:val="32"/>
          <w:szCs w:val="32"/>
        </w:rPr>
        <w:t>，委机关各科室、委属各单位，相关农产品生产单位：</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为加快国家农业现代化示范区建设，巩固国家农业绿色发展先行区和国家农产品质量安全区创建成果</w:t>
      </w:r>
      <w:r>
        <w:rPr>
          <w:rFonts w:hint="eastAsia"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认真贯彻落实《重庆市人民政府关于印发重庆市推进农业农村现代化</w:t>
      </w:r>
      <w:r>
        <w:rPr>
          <w:rFonts w:hint="eastAsia" w:ascii="方正仿宋_GBK" w:hAnsi="方正仿宋_GBK" w:eastAsia="方正仿宋_GBK" w:cs="方正仿宋_GBK"/>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十四五</w:t>
      </w:r>
      <w:r>
        <w:rPr>
          <w:rFonts w:hint="eastAsia"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规划</w:t>
      </w:r>
      <w:r>
        <w:rPr>
          <w:rFonts w:hint="default" w:ascii="Times New Roman" w:hAnsi="Times New Roman" w:eastAsia="方正仿宋_GBK" w:cs="Times New Roman"/>
          <w:color w:val="auto"/>
          <w:spacing w:val="0"/>
          <w:position w:val="0"/>
          <w:sz w:val="32"/>
          <w:szCs w:val="32"/>
          <w:lang w:val="en-US" w:eastAsia="zh-CN"/>
        </w:rPr>
        <w:t>（</w:t>
      </w:r>
      <w:r>
        <w:rPr>
          <w:rFonts w:hint="default" w:ascii="Times New Roman" w:hAnsi="Times New Roman" w:eastAsia="方正仿宋_GBK" w:cs="Times New Roman"/>
          <w:color w:val="auto"/>
          <w:spacing w:val="0"/>
          <w:position w:val="0"/>
          <w:sz w:val="32"/>
          <w:szCs w:val="32"/>
        </w:rPr>
        <w:t>2021</w:t>
      </w:r>
      <w:r>
        <w:rPr>
          <w:rFonts w:hint="default" w:ascii="Times New Roman" w:hAnsi="Times New Roman" w:eastAsia="方正仿宋_GBK" w:cs="Times New Roman"/>
          <w:color w:val="auto"/>
          <w:spacing w:val="0"/>
          <w:position w:val="0"/>
          <w:sz w:val="32"/>
          <w:szCs w:val="32"/>
          <w:highlight w:val="none"/>
          <w:lang w:eastAsia="zh-CN"/>
        </w:rPr>
        <w:t>—</w:t>
      </w:r>
      <w:r>
        <w:rPr>
          <w:rFonts w:hint="default" w:ascii="Times New Roman" w:hAnsi="Times New Roman" w:eastAsia="方正仿宋_GBK" w:cs="Times New Roman"/>
          <w:color w:val="auto"/>
          <w:spacing w:val="0"/>
          <w:position w:val="0"/>
          <w:sz w:val="32"/>
          <w:szCs w:val="32"/>
        </w:rPr>
        <w:t>2025年</w:t>
      </w:r>
      <w:r>
        <w:rPr>
          <w:rFonts w:hint="default"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的通知</w:t>
      </w:r>
      <w:r>
        <w:rPr>
          <w:rFonts w:hint="default"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lang w:val="en-US" w:eastAsia="zh-CN"/>
        </w:rPr>
        <w:t>（</w:t>
      </w:r>
      <w:r>
        <w:rPr>
          <w:rFonts w:hint="default" w:ascii="Times New Roman" w:hAnsi="Times New Roman" w:eastAsia="方正仿宋_GBK" w:cs="Times New Roman"/>
          <w:color w:val="auto"/>
          <w:spacing w:val="0"/>
          <w:position w:val="0"/>
          <w:sz w:val="32"/>
          <w:szCs w:val="32"/>
        </w:rPr>
        <w:t>渝府发〔</w:t>
      </w:r>
      <w:r>
        <w:rPr>
          <w:rFonts w:hint="default" w:ascii="Times New Roman" w:hAnsi="Times New Roman" w:eastAsia="方正仿宋_GBK" w:cs="Times New Roman"/>
          <w:color w:val="auto"/>
          <w:spacing w:val="0"/>
          <w:position w:val="0"/>
          <w:sz w:val="32"/>
          <w:szCs w:val="32"/>
          <w:lang w:eastAsia="zh-CN"/>
        </w:rPr>
        <w:t>2021</w:t>
      </w:r>
      <w:r>
        <w:rPr>
          <w:rFonts w:hint="default" w:ascii="Times New Roman" w:hAnsi="Times New Roman" w:eastAsia="方正仿宋_GBK" w:cs="Times New Roman"/>
          <w:color w:val="auto"/>
          <w:spacing w:val="0"/>
          <w:position w:val="0"/>
          <w:sz w:val="32"/>
          <w:szCs w:val="32"/>
        </w:rPr>
        <w:t>〕22号</w:t>
      </w:r>
      <w:r>
        <w:rPr>
          <w:rFonts w:hint="default" w:ascii="Times New Roman" w:hAnsi="Times New Roman" w:eastAsia="方正仿宋_GBK" w:cs="Times New Roman"/>
          <w:color w:val="auto"/>
          <w:spacing w:val="0"/>
          <w:position w:val="0"/>
          <w:sz w:val="32"/>
          <w:szCs w:val="32"/>
          <w:lang w:eastAsia="zh-CN"/>
        </w:rPr>
        <w:t>）及《中国绿色发展中心关于支持重庆市开州区探索开展全国绿色食品（绿色优质农产品）高质高效试点的复函》（中绿基函</w:t>
      </w:r>
      <w:r>
        <w:rPr>
          <w:rFonts w:hint="default" w:ascii="Times New Roman" w:hAnsi="Times New Roman" w:eastAsia="方正仿宋_GBK" w:cs="Times New Roman"/>
          <w:color w:val="auto"/>
          <w:spacing w:val="0"/>
          <w:position w:val="0"/>
          <w:sz w:val="32"/>
          <w:szCs w:val="32"/>
        </w:rPr>
        <w:t>〔</w:t>
      </w:r>
      <w:r>
        <w:rPr>
          <w:rFonts w:hint="default" w:ascii="Times New Roman" w:hAnsi="Times New Roman" w:eastAsia="方正仿宋_GBK" w:cs="Times New Roman"/>
          <w:color w:val="auto"/>
          <w:spacing w:val="0"/>
          <w:position w:val="0"/>
          <w:sz w:val="32"/>
          <w:szCs w:val="32"/>
          <w:lang w:eastAsia="zh-CN"/>
        </w:rPr>
        <w:t>202</w:t>
      </w:r>
      <w:r>
        <w:rPr>
          <w:rFonts w:hint="default" w:ascii="Times New Roman" w:hAnsi="Times New Roman" w:eastAsia="方正仿宋_GBK" w:cs="Times New Roman"/>
          <w:color w:val="auto"/>
          <w:spacing w:val="0"/>
          <w:position w:val="0"/>
          <w:sz w:val="32"/>
          <w:szCs w:val="32"/>
          <w:lang w:val="en-US" w:eastAsia="zh-CN"/>
        </w:rPr>
        <w:t>3</w:t>
      </w:r>
      <w:r>
        <w:rPr>
          <w:rFonts w:hint="default" w:ascii="Times New Roman" w:hAnsi="Times New Roman" w:eastAsia="方正仿宋_GBK" w:cs="Times New Roman"/>
          <w:color w:val="auto"/>
          <w:spacing w:val="0"/>
          <w:position w:val="0"/>
          <w:sz w:val="32"/>
          <w:szCs w:val="32"/>
        </w:rPr>
        <w:t>〕2</w:t>
      </w:r>
      <w:r>
        <w:rPr>
          <w:rFonts w:hint="default" w:ascii="Times New Roman" w:hAnsi="Times New Roman" w:eastAsia="方正仿宋_GBK" w:cs="Times New Roman"/>
          <w:color w:val="auto"/>
          <w:spacing w:val="0"/>
          <w:position w:val="0"/>
          <w:sz w:val="32"/>
          <w:szCs w:val="32"/>
          <w:lang w:val="en-US" w:eastAsia="zh-CN"/>
        </w:rPr>
        <w:t>0</w:t>
      </w:r>
      <w:r>
        <w:rPr>
          <w:rFonts w:hint="default" w:ascii="Times New Roman" w:hAnsi="Times New Roman" w:eastAsia="方正仿宋_GBK" w:cs="Times New Roman"/>
          <w:color w:val="auto"/>
          <w:spacing w:val="0"/>
          <w:position w:val="0"/>
          <w:sz w:val="32"/>
          <w:szCs w:val="32"/>
        </w:rPr>
        <w:t>2号</w:t>
      </w:r>
      <w:r>
        <w:rPr>
          <w:rFonts w:hint="default"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精神</w:t>
      </w:r>
      <w:r>
        <w:rPr>
          <w:rFonts w:hint="default"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着力构建我区农业绿色发展产业体系，不断保障优质绿色和特色农产品供给，打造</w:t>
      </w:r>
      <w:r>
        <w:rPr>
          <w:rFonts w:hint="eastAsia"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开州农品 绿优纯甄</w:t>
      </w:r>
      <w:r>
        <w:rPr>
          <w:rFonts w:hint="eastAsia" w:ascii="方正仿宋_GBK" w:hAnsi="方正仿宋_GBK" w:eastAsia="方正仿宋_GBK" w:cs="方正仿宋_GBK"/>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农产品品牌，促进农业高质高效发展。</w:t>
      </w:r>
      <w:r>
        <w:rPr>
          <w:rFonts w:hint="default" w:ascii="Times New Roman" w:hAnsi="Times New Roman" w:eastAsia="方正仿宋_GBK" w:cs="Times New Roman"/>
          <w:color w:val="auto"/>
          <w:spacing w:val="0"/>
          <w:position w:val="0"/>
          <w:sz w:val="32"/>
          <w:szCs w:val="32"/>
          <w:lang w:eastAsia="zh-CN"/>
        </w:rPr>
        <w:t>现</w:t>
      </w:r>
      <w:r>
        <w:rPr>
          <w:rFonts w:hint="default" w:ascii="Times New Roman" w:hAnsi="Times New Roman" w:eastAsia="方正仿宋_GBK" w:cs="Times New Roman"/>
          <w:color w:val="auto"/>
          <w:spacing w:val="0"/>
          <w:position w:val="0"/>
          <w:sz w:val="32"/>
          <w:szCs w:val="32"/>
        </w:rPr>
        <w:t>制定印发《开州区农产品品牌建设奖补实施细则》给你们，请遵照执行。</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p>
    <w:p>
      <w:pPr>
        <w:keepNext w:val="0"/>
        <w:keepLines w:val="0"/>
        <w:pageBreakBefore w:val="0"/>
        <w:widowControl w:val="0"/>
        <w:tabs>
          <w:tab w:val="left" w:pos="4410"/>
        </w:tabs>
        <w:kinsoku/>
        <w:wordWrap/>
        <w:overflowPunct/>
        <w:topLinePunct w:val="0"/>
        <w:autoSpaceDE/>
        <w:autoSpaceDN/>
        <w:bidi w:val="0"/>
        <w:adjustRightInd/>
        <w:snapToGrid/>
        <w:spacing w:line="594" w:lineRule="exact"/>
        <w:ind w:left="0" w:leftChars="0" w:firstLine="3779" w:firstLineChars="1181"/>
        <w:jc w:val="center"/>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重庆市开州区农业农村委员会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5040" w:firstLineChars="1575"/>
        <w:jc w:val="both"/>
        <w:textAlignment w:val="auto"/>
        <w:rPr>
          <w:rFonts w:hint="eastAsia" w:ascii="Times New Roman" w:hAnsi="Times New Roman" w:eastAsia="方正仿宋_GBK" w:cs="Times New Roman"/>
          <w:color w:val="auto"/>
          <w:spacing w:val="0"/>
          <w:position w:val="0"/>
          <w:sz w:val="32"/>
          <w:szCs w:val="32"/>
          <w:lang w:val="en-US" w:eastAsia="zh-CN"/>
        </w:rPr>
      </w:pPr>
      <w:r>
        <w:rPr>
          <w:rFonts w:hint="default" w:ascii="Times New Roman" w:hAnsi="Times New Roman" w:eastAsia="方正仿宋_GBK" w:cs="Times New Roman"/>
          <w:color w:val="auto"/>
          <w:spacing w:val="0"/>
          <w:position w:val="0"/>
          <w:sz w:val="32"/>
          <w:szCs w:val="32"/>
        </w:rPr>
        <w:t>2023年</w:t>
      </w:r>
      <w:r>
        <w:rPr>
          <w:rFonts w:hint="eastAsia" w:ascii="Times New Roman" w:hAnsi="Times New Roman" w:eastAsia="方正仿宋_GBK" w:cs="Times New Roman"/>
          <w:color w:val="auto"/>
          <w:spacing w:val="0"/>
          <w:position w:val="0"/>
          <w:sz w:val="32"/>
          <w:szCs w:val="32"/>
          <w:lang w:val="en-US" w:eastAsia="zh-CN"/>
        </w:rPr>
        <w:t>11</w:t>
      </w:r>
      <w:r>
        <w:rPr>
          <w:rFonts w:hint="default" w:ascii="Times New Roman" w:hAnsi="Times New Roman" w:eastAsia="方正仿宋_GBK" w:cs="Times New Roman"/>
          <w:color w:val="auto"/>
          <w:spacing w:val="0"/>
          <w:position w:val="0"/>
          <w:sz w:val="32"/>
          <w:szCs w:val="32"/>
        </w:rPr>
        <w:t>月</w:t>
      </w:r>
      <w:r>
        <w:rPr>
          <w:rFonts w:hint="eastAsia" w:ascii="Times New Roman" w:hAnsi="Times New Roman" w:eastAsia="方正仿宋_GBK" w:cs="Times New Roman"/>
          <w:color w:val="auto"/>
          <w:spacing w:val="0"/>
          <w:position w:val="0"/>
          <w:sz w:val="32"/>
          <w:szCs w:val="32"/>
          <w:lang w:val="en-US" w:eastAsia="zh-CN"/>
        </w:rPr>
        <w:t>7</w:t>
      </w:r>
      <w:r>
        <w:rPr>
          <w:rFonts w:hint="default" w:ascii="Times New Roman" w:hAnsi="Times New Roman" w:eastAsia="方正仿宋_GBK" w:cs="Times New Roman"/>
          <w:color w:val="auto"/>
          <w:spacing w:val="0"/>
          <w:position w:val="0"/>
          <w:sz w:val="32"/>
          <w:szCs w:val="32"/>
        </w:rPr>
        <w:t>日</w:t>
      </w:r>
      <w:r>
        <w:rPr>
          <w:rFonts w:hint="eastAsia" w:ascii="Times New Roman" w:hAnsi="Times New Roman" w:eastAsia="方正仿宋_GBK" w:cs="Times New Roman"/>
          <w:color w:val="auto"/>
          <w:spacing w:val="0"/>
          <w:position w:val="0"/>
          <w:sz w:val="32"/>
          <w:szCs w:val="32"/>
          <w:lang w:val="en-US" w:eastAsia="zh-CN"/>
        </w:rPr>
        <w:t xml:space="preserve"> </w:t>
      </w:r>
    </w:p>
    <w:p>
      <w:pPr>
        <w:keepNext w:val="0"/>
        <w:keepLines w:val="0"/>
        <w:pageBreakBefore w:val="0"/>
        <w:kinsoku/>
        <w:wordWrap/>
        <w:overflowPunct/>
        <w:topLinePunct w:val="0"/>
        <w:bidi w:val="0"/>
        <w:spacing w:line="594" w:lineRule="exact"/>
        <w:jc w:val="center"/>
        <w:rPr>
          <w:rFonts w:hint="default" w:ascii="Times New Roman" w:hAnsi="Times New Roman" w:eastAsia="方正小标宋_GBK" w:cs="Times New Roman"/>
          <w:color w:val="auto"/>
          <w:spacing w:val="0"/>
          <w:position w:val="0"/>
          <w:sz w:val="44"/>
          <w:szCs w:val="44"/>
        </w:rPr>
      </w:pPr>
      <w:r>
        <w:rPr>
          <w:rFonts w:hint="default" w:ascii="Times New Roman" w:hAnsi="Times New Roman" w:eastAsia="方正小标宋_GBK" w:cs="Times New Roman"/>
          <w:color w:val="auto"/>
          <w:spacing w:val="0"/>
          <w:position w:val="0"/>
          <w:sz w:val="44"/>
          <w:szCs w:val="44"/>
        </w:rPr>
        <w:t>开州区农产品品</w:t>
      </w:r>
      <w:r>
        <w:rPr>
          <w:rFonts w:hint="default" w:ascii="Times New Roman" w:hAnsi="Times New Roman" w:eastAsia="宋体" w:cs="Times New Roman"/>
          <w:b/>
          <w:bCs/>
          <w:color w:val="auto"/>
          <w:spacing w:val="0"/>
          <w:position w:val="0"/>
          <w:sz w:val="44"/>
          <w:szCs w:val="44"/>
        </w:rPr>
        <w:t>牌</w:t>
      </w:r>
      <w:r>
        <w:rPr>
          <w:rFonts w:hint="default" w:ascii="Times New Roman" w:hAnsi="Times New Roman" w:eastAsia="方正小标宋_GBK" w:cs="Times New Roman"/>
          <w:color w:val="auto"/>
          <w:spacing w:val="0"/>
          <w:position w:val="0"/>
          <w:sz w:val="44"/>
          <w:szCs w:val="44"/>
        </w:rPr>
        <w:t>建设奖补实施细则</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一、法律法规及政策依据</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根据《中华人民共和国农产品质量安全法》《绿色食品标志管理办法》《有机产品生产、加工、标识与管理体系要求》《农产品地理标志管理办法》《农业农村部农产品质量安全中心关于进一</w:t>
      </w:r>
      <w:r>
        <w:rPr>
          <w:rFonts w:hint="default" w:ascii="Times New Roman" w:hAnsi="Times New Roman" w:eastAsia="方正仿宋_GBK" w:cs="Times New Roman"/>
          <w:color w:val="auto"/>
          <w:spacing w:val="0"/>
          <w:position w:val="0"/>
          <w:sz w:val="32"/>
          <w:szCs w:val="32"/>
          <w:highlight w:val="none"/>
        </w:rPr>
        <w:t>步</w:t>
      </w:r>
      <w:r>
        <w:rPr>
          <w:rFonts w:hint="eastAsia" w:ascii="Times New Roman" w:hAnsi="Times New Roman" w:eastAsia="方正仿宋_GBK" w:cs="Times New Roman"/>
          <w:color w:val="auto"/>
          <w:spacing w:val="0"/>
          <w:position w:val="0"/>
          <w:sz w:val="32"/>
          <w:szCs w:val="32"/>
          <w:highlight w:val="none"/>
          <w:lang w:val="en-US" w:eastAsia="zh-CN"/>
        </w:rPr>
        <w:t>做</w:t>
      </w:r>
      <w:r>
        <w:rPr>
          <w:rFonts w:hint="default" w:ascii="Times New Roman" w:hAnsi="Times New Roman" w:eastAsia="方正仿宋_GBK" w:cs="Times New Roman"/>
          <w:color w:val="auto"/>
          <w:spacing w:val="0"/>
          <w:position w:val="0"/>
          <w:sz w:val="32"/>
          <w:szCs w:val="32"/>
          <w:highlight w:val="none"/>
        </w:rPr>
        <w:t>好</w:t>
      </w:r>
      <w:r>
        <w:rPr>
          <w:rFonts w:hint="default" w:ascii="Times New Roman" w:hAnsi="Times New Roman" w:eastAsia="方正仿宋_GBK" w:cs="Times New Roman"/>
          <w:color w:val="auto"/>
          <w:spacing w:val="0"/>
          <w:position w:val="0"/>
          <w:sz w:val="32"/>
          <w:szCs w:val="32"/>
        </w:rPr>
        <w:t>全国名特优新农产品收集登录工作的通知》（农质安法）〔2020〕1号）等法律法规及文件规定制定奖励措施。</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二、申报对象</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全区新获认证及复查换证的绿色食品、有机食品</w:t>
      </w:r>
      <w:r>
        <w:rPr>
          <w:rFonts w:hint="default" w:ascii="Times New Roman" w:hAnsi="Times New Roman" w:eastAsia="方正仿宋_GBK" w:cs="Times New Roman"/>
          <w:color w:val="auto"/>
          <w:spacing w:val="0"/>
          <w:position w:val="0"/>
          <w:sz w:val="32"/>
          <w:szCs w:val="32"/>
          <w:lang w:eastAsia="zh-CN"/>
        </w:rPr>
        <w:t>、全国</w:t>
      </w:r>
      <w:r>
        <w:rPr>
          <w:rFonts w:hint="default" w:ascii="Times New Roman" w:hAnsi="Times New Roman" w:eastAsia="方正仿宋_GBK" w:cs="Times New Roman"/>
          <w:color w:val="auto"/>
          <w:spacing w:val="0"/>
          <w:position w:val="0"/>
          <w:sz w:val="32"/>
          <w:szCs w:val="32"/>
        </w:rPr>
        <w:t>名特优新农产品、</w:t>
      </w:r>
      <w:bookmarkStart w:id="1" w:name="_GoBack"/>
      <w:r>
        <w:rPr>
          <w:rFonts w:hint="default" w:ascii="Times New Roman" w:hAnsi="Times New Roman" w:eastAsia="方正仿宋_GBK" w:cs="Times New Roman"/>
          <w:color w:val="auto"/>
          <w:spacing w:val="0"/>
          <w:position w:val="0"/>
          <w:sz w:val="32"/>
          <w:szCs w:val="32"/>
          <w:highlight w:val="none"/>
          <w:lang w:eastAsia="zh-CN"/>
        </w:rPr>
        <w:t>全国特质农品、</w:t>
      </w:r>
      <w:bookmarkEnd w:id="1"/>
      <w:r>
        <w:rPr>
          <w:rFonts w:hint="default" w:ascii="Times New Roman" w:hAnsi="Times New Roman" w:eastAsia="方正仿宋_GBK" w:cs="Times New Roman"/>
          <w:color w:val="auto"/>
          <w:spacing w:val="0"/>
          <w:position w:val="0"/>
          <w:sz w:val="32"/>
          <w:szCs w:val="32"/>
        </w:rPr>
        <w:t>重庆名牌农产品、巴味渝珍等和参加各种展会的申报主体，包括农业企业、专业合作社、家庭农场、区农业发展服务中心等。</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三、补助标准及条件</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lang w:eastAsia="zh-CN"/>
        </w:rPr>
      </w:pPr>
      <w:r>
        <w:rPr>
          <w:rFonts w:hint="default" w:ascii="Times New Roman" w:hAnsi="Times New Roman" w:eastAsia="方正仿宋_GBK" w:cs="Times New Roman"/>
          <w:color w:val="auto"/>
          <w:spacing w:val="0"/>
          <w:position w:val="0"/>
          <w:sz w:val="32"/>
          <w:szCs w:val="32"/>
        </w:rPr>
        <w:t>（一）对新获得及换证中国绿色食品发展中心绿色食品认证、</w:t>
      </w:r>
      <w:r>
        <w:rPr>
          <w:rFonts w:hint="default" w:ascii="Times New Roman" w:hAnsi="Times New Roman" w:eastAsia="方正仿宋_GBK" w:cs="Times New Roman"/>
          <w:color w:val="auto"/>
          <w:spacing w:val="-6"/>
          <w:position w:val="0"/>
          <w:sz w:val="32"/>
          <w:szCs w:val="32"/>
        </w:rPr>
        <w:t>中国绿色协会认证</w:t>
      </w:r>
      <w:r>
        <w:rPr>
          <w:rFonts w:hint="default" w:ascii="Times New Roman" w:hAnsi="Times New Roman" w:eastAsia="方正仿宋_GBK" w:cs="Times New Roman"/>
          <w:color w:val="auto"/>
          <w:spacing w:val="-6"/>
          <w:position w:val="0"/>
          <w:sz w:val="32"/>
          <w:szCs w:val="32"/>
          <w:lang w:eastAsia="zh-CN"/>
        </w:rPr>
        <w:t>的</w:t>
      </w:r>
      <w:r>
        <w:rPr>
          <w:rFonts w:hint="default" w:ascii="Times New Roman" w:hAnsi="Times New Roman" w:eastAsia="方正仿宋_GBK" w:cs="Times New Roman"/>
          <w:color w:val="auto"/>
          <w:spacing w:val="-6"/>
          <w:position w:val="0"/>
          <w:sz w:val="32"/>
          <w:szCs w:val="32"/>
        </w:rPr>
        <w:t>绿色食品生产资料，每个生产单位认证的第1</w:t>
      </w:r>
      <w:r>
        <w:rPr>
          <w:rFonts w:hint="default" w:ascii="Times New Roman" w:hAnsi="Times New Roman" w:eastAsia="方正仿宋_GBK" w:cs="Times New Roman"/>
          <w:color w:val="auto"/>
          <w:spacing w:val="-6"/>
          <w:position w:val="0"/>
          <w:sz w:val="32"/>
          <w:szCs w:val="32"/>
          <w:lang w:val="en-US" w:eastAsia="zh-CN"/>
        </w:rPr>
        <w:t>—</w:t>
      </w:r>
      <w:r>
        <w:rPr>
          <w:rFonts w:hint="default" w:ascii="Times New Roman" w:hAnsi="Times New Roman" w:eastAsia="方正仿宋_GBK" w:cs="Times New Roman"/>
          <w:color w:val="auto"/>
          <w:spacing w:val="-6"/>
          <w:position w:val="0"/>
          <w:sz w:val="32"/>
          <w:szCs w:val="32"/>
        </w:rPr>
        <w:t>2个产品按每个给予3万元奖励扶持、第3</w:t>
      </w:r>
      <w:r>
        <w:rPr>
          <w:rFonts w:hint="default" w:ascii="Times New Roman" w:hAnsi="Times New Roman" w:eastAsia="方正仿宋_GBK" w:cs="Times New Roman"/>
          <w:color w:val="auto"/>
          <w:spacing w:val="-6"/>
          <w:position w:val="0"/>
          <w:sz w:val="32"/>
          <w:szCs w:val="32"/>
          <w:lang w:eastAsia="zh-CN"/>
        </w:rPr>
        <w:t>—</w:t>
      </w:r>
      <w:r>
        <w:rPr>
          <w:rFonts w:hint="default" w:ascii="Times New Roman" w:hAnsi="Times New Roman" w:eastAsia="方正仿宋_GBK" w:cs="Times New Roman"/>
          <w:color w:val="auto"/>
          <w:spacing w:val="-6"/>
          <w:position w:val="0"/>
          <w:sz w:val="32"/>
          <w:szCs w:val="32"/>
        </w:rPr>
        <w:t>5个产品按每个给予2万元奖励扶持、第6个及以上产品按每个给予0.5万元奖励扶持，</w:t>
      </w:r>
      <w:r>
        <w:rPr>
          <w:rFonts w:hint="default" w:ascii="Times New Roman" w:hAnsi="Times New Roman" w:eastAsia="方正仿宋_GBK" w:cs="Times New Roman"/>
          <w:color w:val="auto"/>
          <w:spacing w:val="-6"/>
          <w:position w:val="0"/>
          <w:sz w:val="32"/>
          <w:szCs w:val="32"/>
          <w:lang w:eastAsia="zh-CN"/>
        </w:rPr>
        <w:t>获证第二年奖励扶持</w:t>
      </w:r>
      <w:r>
        <w:rPr>
          <w:rFonts w:hint="default" w:ascii="Times New Roman" w:hAnsi="Times New Roman" w:eastAsia="方正仿宋_GBK" w:cs="Times New Roman"/>
          <w:color w:val="auto"/>
          <w:spacing w:val="-6"/>
          <w:position w:val="0"/>
          <w:sz w:val="32"/>
          <w:szCs w:val="32"/>
        </w:rPr>
        <w:t>资金的50%，余下50%证</w:t>
      </w:r>
      <w:r>
        <w:rPr>
          <w:rFonts w:hint="default" w:ascii="Times New Roman" w:hAnsi="Times New Roman" w:eastAsia="方正仿宋_GBK" w:cs="Times New Roman"/>
          <w:color w:val="auto"/>
          <w:spacing w:val="-6"/>
          <w:position w:val="0"/>
          <w:sz w:val="32"/>
          <w:szCs w:val="32"/>
          <w:lang w:eastAsia="zh-CN"/>
        </w:rPr>
        <w:t>书</w:t>
      </w:r>
      <w:r>
        <w:rPr>
          <w:rFonts w:hint="default" w:ascii="Times New Roman" w:hAnsi="Times New Roman" w:eastAsia="方正仿宋_GBK" w:cs="Times New Roman"/>
          <w:color w:val="auto"/>
          <w:spacing w:val="-6"/>
          <w:position w:val="0"/>
          <w:sz w:val="32"/>
          <w:szCs w:val="32"/>
        </w:rPr>
        <w:t>到期</w:t>
      </w:r>
      <w:r>
        <w:rPr>
          <w:rFonts w:hint="default" w:ascii="Times New Roman" w:hAnsi="Times New Roman" w:eastAsia="方正仿宋_GBK" w:cs="Times New Roman"/>
          <w:color w:val="auto"/>
          <w:spacing w:val="-6"/>
          <w:position w:val="0"/>
          <w:sz w:val="32"/>
          <w:szCs w:val="32"/>
          <w:lang w:eastAsia="zh-CN"/>
        </w:rPr>
        <w:t>当年</w:t>
      </w:r>
      <w:r>
        <w:rPr>
          <w:rFonts w:hint="default" w:ascii="Times New Roman" w:hAnsi="Times New Roman" w:eastAsia="方正仿宋_GBK" w:cs="Times New Roman"/>
          <w:color w:val="auto"/>
          <w:spacing w:val="-6"/>
          <w:position w:val="0"/>
          <w:sz w:val="32"/>
          <w:szCs w:val="32"/>
        </w:rPr>
        <w:t>兑付</w:t>
      </w:r>
      <w:r>
        <w:rPr>
          <w:rFonts w:hint="default" w:ascii="Times New Roman" w:hAnsi="Times New Roman" w:eastAsia="方正仿宋_GBK" w:cs="Times New Roman"/>
          <w:color w:val="auto"/>
          <w:spacing w:val="-6"/>
          <w:position w:val="0"/>
          <w:sz w:val="32"/>
          <w:szCs w:val="32"/>
          <w:lang w:eastAsia="zh-CN"/>
        </w:rPr>
        <w:t>。</w:t>
      </w:r>
    </w:p>
    <w:p>
      <w:pPr>
        <w:keepNext w:val="0"/>
        <w:keepLines w:val="0"/>
        <w:pageBreakBefore w:val="0"/>
        <w:widowControl w:val="0"/>
        <w:tabs>
          <w:tab w:val="left" w:pos="155"/>
        </w:tabs>
        <w:kinsoku/>
        <w:wordWrap/>
        <w:overflowPunct/>
        <w:topLinePunct w:val="0"/>
        <w:autoSpaceDE w:val="0"/>
        <w:autoSpaceDN w:val="0"/>
        <w:bidi w:val="0"/>
        <w:adjustRightInd w:val="0"/>
        <w:snapToGrid w:val="0"/>
        <w:spacing w:line="594" w:lineRule="exact"/>
        <w:ind w:firstLine="640" w:firstLineChars="200"/>
        <w:jc w:val="both"/>
        <w:textAlignment w:val="baseline"/>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（二）对新获得中绿华夏有机食品认证的农产品，每个农产品一次性给予5万元奖励扶持，到期再认证</w:t>
      </w:r>
      <w:r>
        <w:rPr>
          <w:rFonts w:hint="default" w:ascii="Times New Roman" w:hAnsi="Times New Roman" w:eastAsia="方正仿宋_GBK" w:cs="Times New Roman"/>
          <w:color w:val="auto"/>
          <w:spacing w:val="0"/>
          <w:position w:val="0"/>
          <w:sz w:val="32"/>
          <w:szCs w:val="32"/>
          <w:lang w:eastAsia="zh-CN"/>
        </w:rPr>
        <w:t>的</w:t>
      </w:r>
      <w:r>
        <w:rPr>
          <w:rFonts w:hint="default" w:ascii="Times New Roman" w:hAnsi="Times New Roman" w:eastAsia="方正仿宋_GBK" w:cs="Times New Roman"/>
          <w:color w:val="auto"/>
          <w:spacing w:val="0"/>
          <w:position w:val="0"/>
          <w:sz w:val="32"/>
          <w:szCs w:val="32"/>
        </w:rPr>
        <w:t>每个农产品一次性给予3万元奖励扶持。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（三）对新获得及认证到期需进行年度确认的名特优新农产品的农产品，每个农产品一次性给予</w:t>
      </w:r>
      <w:r>
        <w:rPr>
          <w:rFonts w:hint="default" w:ascii="Times New Roman" w:hAnsi="Times New Roman" w:eastAsia="方正仿宋_GBK" w:cs="Times New Roman"/>
          <w:color w:val="auto"/>
          <w:spacing w:val="0"/>
          <w:position w:val="0"/>
          <w:sz w:val="32"/>
          <w:szCs w:val="32"/>
          <w:lang w:eastAsia="zh-CN"/>
        </w:rPr>
        <w:t>主要生产经营</w:t>
      </w:r>
      <w:r>
        <w:rPr>
          <w:rFonts w:hint="default" w:ascii="Times New Roman" w:hAnsi="Times New Roman" w:eastAsia="方正仿宋_GBK" w:cs="Times New Roman"/>
          <w:color w:val="auto"/>
          <w:spacing w:val="0"/>
          <w:position w:val="0"/>
          <w:sz w:val="32"/>
          <w:szCs w:val="32"/>
        </w:rPr>
        <w:t>单位0.5万元奖励扶持。</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（四）对新获得及换证的全国特质农品的农产品，每个农产品一次性给予2万元奖励扶持。</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（五）对新获得及换证重庆名牌农产品的农产品，每个农产品一次性给予2万元奖励扶持。</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（六）</w:t>
      </w:r>
      <w:r>
        <w:rPr>
          <w:rFonts w:hint="eastAsia" w:ascii="Times New Roman" w:hAnsi="Times New Roman" w:eastAsia="方正仿宋_GBK" w:cs="Times New Roman"/>
          <w:color w:val="auto"/>
          <w:spacing w:val="0"/>
          <w:position w:val="0"/>
          <w:sz w:val="32"/>
          <w:szCs w:val="32"/>
          <w:lang w:eastAsia="zh-CN"/>
        </w:rPr>
        <w:t>对</w:t>
      </w:r>
      <w:r>
        <w:rPr>
          <w:rFonts w:hint="default" w:ascii="Times New Roman" w:hAnsi="Times New Roman" w:eastAsia="方正仿宋_GBK" w:cs="Times New Roman"/>
          <w:color w:val="auto"/>
          <w:spacing w:val="0"/>
          <w:position w:val="0"/>
          <w:sz w:val="32"/>
          <w:szCs w:val="32"/>
        </w:rPr>
        <w:t>新获得及换证</w:t>
      </w:r>
      <w:r>
        <w:rPr>
          <w:rFonts w:hint="eastAsia"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巴味渝珍</w:t>
      </w:r>
      <w:r>
        <w:rPr>
          <w:rFonts w:hint="eastAsia" w:ascii="Times New Roman" w:hAnsi="Times New Roman" w:eastAsia="方正仿宋_GBK" w:cs="Times New Roman"/>
          <w:color w:val="auto"/>
          <w:spacing w:val="0"/>
          <w:position w:val="0"/>
          <w:sz w:val="32"/>
          <w:szCs w:val="32"/>
          <w:lang w:eastAsia="zh-CN"/>
        </w:rPr>
        <w:t>”</w:t>
      </w:r>
      <w:r>
        <w:rPr>
          <w:rFonts w:hint="default" w:ascii="Times New Roman" w:hAnsi="Times New Roman" w:eastAsia="方正仿宋_GBK" w:cs="Times New Roman"/>
          <w:color w:val="auto"/>
          <w:spacing w:val="0"/>
          <w:position w:val="0"/>
          <w:sz w:val="32"/>
          <w:szCs w:val="32"/>
        </w:rPr>
        <w:t>区域公用品牌授权的农产品，每个产品一次给予0.5万元奖励扶持。</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（七）由区农业农村委负责组织参加的国家部委、省（市）人民政府、市农业农村委及下属事业单位、相关行业协会等主办的综合性农展会、博览会、行业展会或权威性展会，</w:t>
      </w:r>
      <w:r>
        <w:rPr>
          <w:rFonts w:hint="default" w:ascii="Times New Roman" w:hAnsi="Times New Roman" w:eastAsia="方正仿宋_GBK" w:cs="Times New Roman"/>
          <w:color w:val="auto"/>
          <w:spacing w:val="0"/>
          <w:position w:val="0"/>
          <w:sz w:val="32"/>
          <w:szCs w:val="32"/>
          <w:lang w:eastAsia="zh-CN"/>
        </w:rPr>
        <w:t>开州区外</w:t>
      </w:r>
      <w:r>
        <w:rPr>
          <w:rFonts w:hint="default" w:ascii="Times New Roman" w:hAnsi="Times New Roman" w:eastAsia="方正仿宋_GBK" w:cs="Times New Roman"/>
          <w:color w:val="auto"/>
          <w:spacing w:val="0"/>
          <w:position w:val="0"/>
          <w:sz w:val="32"/>
          <w:szCs w:val="32"/>
        </w:rPr>
        <w:t>重庆市内参展的给予每个企业补助</w:t>
      </w:r>
      <w:r>
        <w:rPr>
          <w:rFonts w:hint="default" w:ascii="Times New Roman" w:hAnsi="Times New Roman" w:eastAsia="方正仿宋_GBK" w:cs="Times New Roman"/>
          <w:color w:val="auto"/>
          <w:spacing w:val="0"/>
          <w:position w:val="0"/>
          <w:sz w:val="32"/>
          <w:szCs w:val="32"/>
          <w:highlight w:val="none"/>
          <w:lang w:val="en-US" w:eastAsia="zh-CN"/>
        </w:rPr>
        <w:t>0.1万-0.2万</w:t>
      </w:r>
      <w:r>
        <w:rPr>
          <w:rFonts w:hint="default" w:ascii="Times New Roman" w:hAnsi="Times New Roman" w:eastAsia="方正仿宋_GBK" w:cs="Times New Roman"/>
          <w:color w:val="auto"/>
          <w:spacing w:val="0"/>
          <w:position w:val="0"/>
          <w:sz w:val="32"/>
          <w:szCs w:val="32"/>
        </w:rPr>
        <w:t>元（按参展</w:t>
      </w:r>
      <w:r>
        <w:rPr>
          <w:rFonts w:hint="default" w:ascii="Times New Roman" w:hAnsi="Times New Roman" w:eastAsia="方正仿宋_GBK" w:cs="Times New Roman"/>
          <w:color w:val="auto"/>
          <w:spacing w:val="0"/>
          <w:position w:val="0"/>
          <w:sz w:val="32"/>
          <w:szCs w:val="32"/>
          <w:lang w:eastAsia="zh-CN"/>
        </w:rPr>
        <w:t>时长</w:t>
      </w:r>
      <w:r>
        <w:rPr>
          <w:rFonts w:hint="default" w:ascii="Times New Roman" w:hAnsi="Times New Roman" w:eastAsia="方正仿宋_GBK" w:cs="Times New Roman"/>
          <w:color w:val="auto"/>
          <w:spacing w:val="0"/>
          <w:position w:val="0"/>
          <w:sz w:val="32"/>
          <w:szCs w:val="32"/>
        </w:rPr>
        <w:t>补助），重庆市外参展的给予每个企业补助</w:t>
      </w:r>
      <w:r>
        <w:rPr>
          <w:rFonts w:hint="default" w:ascii="Times New Roman" w:hAnsi="Times New Roman" w:eastAsia="方正仿宋_GBK" w:cs="Times New Roman"/>
          <w:color w:val="auto"/>
          <w:spacing w:val="0"/>
          <w:position w:val="0"/>
          <w:sz w:val="32"/>
          <w:szCs w:val="32"/>
          <w:highlight w:val="none"/>
          <w:lang w:eastAsia="zh-CN"/>
        </w:rPr>
        <w:t>0.3万-0.5万</w:t>
      </w:r>
      <w:r>
        <w:rPr>
          <w:rFonts w:hint="default" w:ascii="Times New Roman" w:hAnsi="Times New Roman" w:eastAsia="方正仿宋_GBK" w:cs="Times New Roman"/>
          <w:color w:val="auto"/>
          <w:spacing w:val="0"/>
          <w:position w:val="0"/>
          <w:sz w:val="32"/>
          <w:szCs w:val="32"/>
        </w:rPr>
        <w:t>元（按参展</w:t>
      </w:r>
      <w:r>
        <w:rPr>
          <w:rFonts w:hint="default" w:ascii="Times New Roman" w:hAnsi="Times New Roman" w:eastAsia="方正仿宋_GBK" w:cs="Times New Roman"/>
          <w:color w:val="auto"/>
          <w:spacing w:val="0"/>
          <w:position w:val="0"/>
          <w:sz w:val="32"/>
          <w:szCs w:val="32"/>
          <w:lang w:eastAsia="zh-CN"/>
        </w:rPr>
        <w:t>时长及</w:t>
      </w:r>
      <w:r>
        <w:rPr>
          <w:rFonts w:hint="default" w:ascii="Times New Roman" w:hAnsi="Times New Roman" w:eastAsia="方正仿宋_GBK" w:cs="Times New Roman"/>
          <w:color w:val="auto"/>
          <w:spacing w:val="0"/>
          <w:position w:val="0"/>
          <w:sz w:val="32"/>
          <w:szCs w:val="32"/>
        </w:rPr>
        <w:t>地区远近补助），主要用于参展过程中的交通费、住宿费、邮寄费等补贴；获国家部委或省（市）人民政府主办的综合性农展会、博览会等奖项，金奖的按每个产品一次性给予1万元奖励扶持，银奖每个产品一次性给予0.5万元奖励扶持。</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lang w:val="en-US" w:eastAsia="zh-CN"/>
        </w:rPr>
      </w:pPr>
      <w:r>
        <w:rPr>
          <w:rFonts w:hint="default" w:ascii="Times New Roman" w:hAnsi="Times New Roman" w:eastAsia="方正仿宋_GBK" w:cs="Times New Roman"/>
          <w:color w:val="auto"/>
          <w:spacing w:val="0"/>
          <w:position w:val="0"/>
          <w:sz w:val="32"/>
          <w:szCs w:val="32"/>
          <w:lang w:val="en-US" w:eastAsia="zh-CN"/>
        </w:rPr>
        <w:t>（八）对新获得由区级部门授权的绿色食品规模化生产试点基地、有机农产品生产试点基地</w:t>
      </w:r>
      <w:r>
        <w:rPr>
          <w:rFonts w:hint="default" w:ascii="Times New Roman" w:hAnsi="Times New Roman" w:eastAsia="方正仿宋_GBK" w:cs="Times New Roman"/>
          <w:color w:val="auto"/>
          <w:spacing w:val="0"/>
          <w:position w:val="0"/>
          <w:sz w:val="32"/>
          <w:szCs w:val="32"/>
          <w:lang w:eastAsia="zh-CN"/>
        </w:rPr>
        <w:t>一次性给予0.</w:t>
      </w:r>
      <w:r>
        <w:rPr>
          <w:rFonts w:hint="default" w:ascii="Times New Roman" w:hAnsi="Times New Roman" w:eastAsia="方正仿宋_GBK" w:cs="Times New Roman"/>
          <w:color w:val="auto"/>
          <w:spacing w:val="0"/>
          <w:position w:val="0"/>
          <w:sz w:val="32"/>
          <w:szCs w:val="32"/>
          <w:lang w:val="en-US" w:eastAsia="zh-CN"/>
        </w:rPr>
        <w:t>3</w:t>
      </w:r>
      <w:r>
        <w:rPr>
          <w:rFonts w:hint="default" w:ascii="Times New Roman" w:hAnsi="Times New Roman" w:eastAsia="方正仿宋_GBK" w:cs="Times New Roman"/>
          <w:color w:val="auto"/>
          <w:spacing w:val="0"/>
          <w:position w:val="0"/>
          <w:sz w:val="32"/>
          <w:szCs w:val="32"/>
          <w:lang w:eastAsia="zh-CN"/>
        </w:rPr>
        <w:t>万元奖励扶持（若该基地已获得绿色食品或有机农产品补助则不给予该项补助），对新获得</w:t>
      </w:r>
      <w:r>
        <w:rPr>
          <w:rFonts w:hint="default" w:ascii="Times New Roman" w:hAnsi="Times New Roman" w:eastAsia="方正仿宋_GBK" w:cs="Times New Roman"/>
          <w:color w:val="auto"/>
          <w:spacing w:val="0"/>
          <w:position w:val="0"/>
          <w:sz w:val="32"/>
          <w:szCs w:val="32"/>
          <w:lang w:val="en-US" w:eastAsia="zh-CN"/>
        </w:rPr>
        <w:t>独具特色的农耕农品（农文、农遗）基地、绿色优质农产品物流消费体验主体</w:t>
      </w:r>
      <w:r>
        <w:rPr>
          <w:rFonts w:hint="default" w:ascii="Times New Roman" w:hAnsi="Times New Roman" w:eastAsia="方正仿宋_GBK" w:cs="Times New Roman"/>
          <w:color w:val="auto"/>
          <w:spacing w:val="0"/>
          <w:position w:val="0"/>
          <w:sz w:val="32"/>
          <w:szCs w:val="32"/>
          <w:lang w:eastAsia="zh-CN"/>
        </w:rPr>
        <w:t>一次性</w:t>
      </w:r>
      <w:r>
        <w:rPr>
          <w:rFonts w:hint="default" w:ascii="Times New Roman" w:hAnsi="Times New Roman" w:eastAsia="方正仿宋_GBK" w:cs="Times New Roman"/>
          <w:color w:val="auto"/>
          <w:spacing w:val="0"/>
          <w:position w:val="0"/>
          <w:sz w:val="32"/>
          <w:szCs w:val="32"/>
          <w:highlight w:val="none"/>
          <w:lang w:eastAsia="zh-CN"/>
        </w:rPr>
        <w:t>给予</w:t>
      </w:r>
      <w:r>
        <w:rPr>
          <w:rFonts w:hint="default" w:ascii="Times New Roman" w:hAnsi="Times New Roman" w:eastAsia="方正仿宋_GBK" w:cs="Times New Roman"/>
          <w:color w:val="auto"/>
          <w:spacing w:val="0"/>
          <w:position w:val="0"/>
          <w:sz w:val="32"/>
          <w:szCs w:val="32"/>
          <w:lang w:eastAsia="zh-CN"/>
        </w:rPr>
        <w:t>0.</w:t>
      </w:r>
      <w:r>
        <w:rPr>
          <w:rFonts w:hint="default" w:ascii="Times New Roman" w:hAnsi="Times New Roman" w:eastAsia="方正仿宋_GBK" w:cs="Times New Roman"/>
          <w:color w:val="auto"/>
          <w:spacing w:val="0"/>
          <w:position w:val="0"/>
          <w:sz w:val="32"/>
          <w:szCs w:val="32"/>
          <w:lang w:val="en-US" w:eastAsia="zh-CN"/>
        </w:rPr>
        <w:t>3</w:t>
      </w:r>
      <w:r>
        <w:rPr>
          <w:rFonts w:hint="default" w:ascii="Times New Roman" w:hAnsi="Times New Roman" w:eastAsia="方正仿宋_GBK" w:cs="Times New Roman"/>
          <w:color w:val="auto"/>
          <w:spacing w:val="0"/>
          <w:position w:val="0"/>
          <w:sz w:val="32"/>
          <w:szCs w:val="32"/>
          <w:lang w:eastAsia="zh-CN"/>
        </w:rPr>
        <w:t>万元奖励扶持</w:t>
      </w:r>
      <w:r>
        <w:rPr>
          <w:rFonts w:hint="default" w:ascii="Times New Roman" w:hAnsi="Times New Roman" w:eastAsia="方正仿宋_GBK" w:cs="Times New Roman"/>
          <w:color w:val="auto"/>
          <w:spacing w:val="0"/>
          <w:position w:val="0"/>
          <w:sz w:val="32"/>
          <w:szCs w:val="32"/>
          <w:lang w:val="en-US" w:eastAsia="zh-CN"/>
        </w:rPr>
        <w:t>。</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四、资金来源</w:t>
      </w:r>
    </w:p>
    <w:p>
      <w:pPr>
        <w:keepNext w:val="0"/>
        <w:keepLines w:val="0"/>
        <w:pageBreakBefore w:val="0"/>
        <w:tabs>
          <w:tab w:val="left" w:pos="155"/>
        </w:tabs>
        <w:kinsoku/>
        <w:wordWrap/>
        <w:overflowPunct/>
        <w:topLinePunct w:val="0"/>
        <w:bidi w:val="0"/>
        <w:spacing w:line="594" w:lineRule="exact"/>
        <w:ind w:firstLine="640" w:firstLineChars="200"/>
        <w:jc w:val="both"/>
        <w:rPr>
          <w:rFonts w:hint="default" w:ascii="Times New Roman" w:hAnsi="Times New Roman" w:eastAsia="方正仿宋_GBK" w:cs="Times New Roman"/>
          <w:color w:val="auto"/>
          <w:spacing w:val="0"/>
          <w:position w:val="0"/>
          <w:sz w:val="32"/>
          <w:szCs w:val="32"/>
          <w:lang w:eastAsia="zh-CN"/>
        </w:rPr>
      </w:pPr>
      <w:r>
        <w:rPr>
          <w:rFonts w:hint="default" w:ascii="Times New Roman" w:hAnsi="Times New Roman" w:eastAsia="方正仿宋_GBK" w:cs="Times New Roman"/>
          <w:color w:val="auto"/>
          <w:spacing w:val="0"/>
          <w:position w:val="0"/>
          <w:sz w:val="32"/>
          <w:szCs w:val="32"/>
        </w:rPr>
        <w:t>资金来源</w:t>
      </w:r>
      <w:r>
        <w:rPr>
          <w:rFonts w:hint="default" w:ascii="Times New Roman" w:hAnsi="Times New Roman" w:eastAsia="方正仿宋_GBK" w:cs="Times New Roman"/>
          <w:color w:val="auto"/>
          <w:spacing w:val="0"/>
          <w:position w:val="0"/>
          <w:sz w:val="32"/>
          <w:szCs w:val="32"/>
          <w:lang w:eastAsia="zh-CN"/>
        </w:rPr>
        <w:t>于</w:t>
      </w:r>
      <w:r>
        <w:rPr>
          <w:rFonts w:hint="default" w:ascii="Times New Roman" w:hAnsi="Times New Roman" w:eastAsia="方正仿宋_GBK" w:cs="Times New Roman"/>
          <w:color w:val="auto"/>
          <w:spacing w:val="0"/>
          <w:position w:val="0"/>
          <w:sz w:val="32"/>
          <w:szCs w:val="32"/>
        </w:rPr>
        <w:t>统筹上级相关农业专项资金</w:t>
      </w:r>
      <w:r>
        <w:rPr>
          <w:rFonts w:hint="default" w:ascii="Times New Roman" w:hAnsi="Times New Roman" w:eastAsia="方正仿宋_GBK" w:cs="Times New Roman"/>
          <w:color w:val="auto"/>
          <w:spacing w:val="0"/>
          <w:position w:val="0"/>
          <w:sz w:val="32"/>
          <w:szCs w:val="32"/>
          <w:lang w:eastAsia="zh-CN"/>
        </w:rPr>
        <w:t>。</w:t>
      </w:r>
    </w:p>
    <w:p>
      <w:pPr>
        <w:keepNext w:val="0"/>
        <w:keepLines w:val="0"/>
        <w:pageBreakBefore w:val="0"/>
        <w:kinsoku/>
        <w:wordWrap/>
        <w:overflowPunct/>
        <w:topLinePunct w:val="0"/>
        <w:bidi w:val="0"/>
        <w:spacing w:line="594" w:lineRule="exact"/>
        <w:ind w:firstLine="640" w:firstLineChars="200"/>
        <w:jc w:val="both"/>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五、获证单位申报验收程序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获证单位于每年9月10日前向所在乡镇街道农业服务中心提交《开州区农产品品牌建设奖补兑现申请表》，乡镇街道农业服务中心初验审核合格后于9月30日前报区农业发展中心品牌服务站</w:t>
      </w:r>
      <w:r>
        <w:rPr>
          <w:rFonts w:hint="default" w:ascii="Times New Roman" w:hAnsi="Times New Roman" w:eastAsia="方正仿宋_GBK" w:cs="Times New Roman"/>
          <w:color w:val="auto"/>
          <w:spacing w:val="0"/>
          <w:position w:val="0"/>
          <w:sz w:val="32"/>
          <w:szCs w:val="32"/>
          <w:lang w:eastAsia="zh-CN"/>
        </w:rPr>
        <w:t>或</w:t>
      </w:r>
      <w:r>
        <w:rPr>
          <w:rFonts w:hint="default" w:ascii="Times New Roman" w:hAnsi="Times New Roman" w:eastAsia="方正仿宋_GBK" w:cs="Times New Roman"/>
          <w:color w:val="auto"/>
          <w:spacing w:val="0"/>
          <w:position w:val="0"/>
          <w:sz w:val="32"/>
          <w:szCs w:val="32"/>
        </w:rPr>
        <w:t>农产品质量服务站，由区农业农村委会同相关部门组织核查，必要时组织复验</w:t>
      </w:r>
      <w:r>
        <w:rPr>
          <w:rFonts w:hint="default" w:ascii="Times New Roman" w:hAnsi="Times New Roman" w:eastAsia="方正仿宋_GBK" w:cs="Times New Roman"/>
          <w:color w:val="auto"/>
          <w:spacing w:val="0"/>
          <w:position w:val="0"/>
          <w:sz w:val="32"/>
          <w:szCs w:val="32"/>
          <w:lang w:val="en-US" w:eastAsia="zh-CN"/>
        </w:rPr>
        <w:t>；绿色食品规模化生产试点基地、有机农产品生产试点基地、独具特色的农耕农品（农文、农遗）基地、绿色优质农产品物流消费体验主体由区级相关部门组织验收</w:t>
      </w:r>
      <w:r>
        <w:rPr>
          <w:rFonts w:hint="default" w:ascii="Times New Roman" w:hAnsi="Times New Roman" w:eastAsia="方正仿宋_GBK" w:cs="Times New Roman"/>
          <w:color w:val="auto"/>
          <w:spacing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六、建设奖补兑现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经验收合格的获证生产单位，其农产品品牌奖励扶持资金由区农业农村委直接拨付到生产单位；验收不合格的不予兑现。参展企业的补助</w:t>
      </w:r>
      <w:r>
        <w:rPr>
          <w:rFonts w:hint="default" w:ascii="Times New Roman" w:hAnsi="Times New Roman" w:eastAsia="方正仿宋_GBK" w:cs="Times New Roman"/>
          <w:color w:val="auto"/>
          <w:spacing w:val="0"/>
          <w:position w:val="0"/>
          <w:sz w:val="32"/>
          <w:szCs w:val="32"/>
          <w:lang w:eastAsia="zh-CN"/>
        </w:rPr>
        <w:t>标准</w:t>
      </w:r>
      <w:r>
        <w:rPr>
          <w:rFonts w:hint="default" w:ascii="Times New Roman" w:hAnsi="Times New Roman" w:eastAsia="方正仿宋_GBK" w:cs="Times New Roman"/>
          <w:color w:val="auto"/>
          <w:spacing w:val="0"/>
          <w:position w:val="0"/>
          <w:sz w:val="32"/>
          <w:szCs w:val="32"/>
        </w:rPr>
        <w:t>由</w:t>
      </w:r>
      <w:r>
        <w:rPr>
          <w:rFonts w:hint="default" w:ascii="Times New Roman" w:hAnsi="Times New Roman" w:eastAsia="方正仿宋_GBK" w:cs="Times New Roman"/>
          <w:color w:val="auto"/>
          <w:spacing w:val="0"/>
          <w:position w:val="0"/>
          <w:sz w:val="32"/>
          <w:szCs w:val="32"/>
          <w:lang w:eastAsia="zh-CN"/>
        </w:rPr>
        <w:t>区农委确定，组织参展的</w:t>
      </w:r>
      <w:r>
        <w:rPr>
          <w:rFonts w:hint="default" w:ascii="Times New Roman" w:hAnsi="Times New Roman" w:eastAsia="方正仿宋_GBK" w:cs="Times New Roman"/>
          <w:color w:val="auto"/>
          <w:spacing w:val="0"/>
          <w:position w:val="0"/>
          <w:sz w:val="32"/>
          <w:szCs w:val="32"/>
        </w:rPr>
        <w:t>相关科室站所向区农业农村委申请拨付</w:t>
      </w:r>
      <w:r>
        <w:rPr>
          <w:rFonts w:hint="default" w:ascii="Times New Roman" w:hAnsi="Times New Roman" w:eastAsia="方正仿宋_GBK" w:cs="Times New Roman"/>
          <w:color w:val="auto"/>
          <w:spacing w:val="0"/>
          <w:position w:val="0"/>
          <w:sz w:val="32"/>
          <w:szCs w:val="32"/>
          <w:lang w:eastAsia="zh-CN"/>
        </w:rPr>
        <w:t>资金到企业</w:t>
      </w:r>
      <w:r>
        <w:rPr>
          <w:rFonts w:hint="default" w:ascii="Times New Roman" w:hAnsi="Times New Roman" w:eastAsia="方正仿宋_GBK" w:cs="Times New Roman"/>
          <w:color w:val="auto"/>
          <w:spacing w:val="0"/>
          <w:positio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rPr>
        <w:t>七、有下列情形之一，不予兑现：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（一）获证单位信用不良或进入黑名单的；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（二）获证产品在有效期内停止生产的或认证企业转行的；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（三）验收不合格，拒不整改或整改不合格的；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（四）拒不提交《开州区农产品品牌建设奖补兑现申请表》或自愿放弃奖补扶持的；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（五）获证企业当年受到农产品质量安全行政处罚或经区级及以上农业行政主管部门现场检查或样品抽检不合格的；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（六）生产单位发生农产品质量安全事故或影响恶劣的农产品质量安全事件的。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spacing w:val="0"/>
          <w:position w:val="0"/>
          <w:sz w:val="32"/>
          <w:szCs w:val="32"/>
        </w:rPr>
      </w:pPr>
      <w:r>
        <w:rPr>
          <w:rFonts w:hint="default" w:ascii="Times New Roman" w:hAnsi="Times New Roman" w:eastAsia="方正黑体_GBK" w:cs="Times New Roman"/>
          <w:color w:val="auto"/>
          <w:spacing w:val="0"/>
          <w:position w:val="0"/>
          <w:sz w:val="32"/>
          <w:szCs w:val="32"/>
          <w:lang w:eastAsia="zh-CN"/>
        </w:rPr>
        <w:t>八</w:t>
      </w:r>
      <w:r>
        <w:rPr>
          <w:rFonts w:hint="default" w:ascii="Times New Roman" w:hAnsi="Times New Roman" w:eastAsia="方正黑体_GBK" w:cs="Times New Roman"/>
          <w:color w:val="auto"/>
          <w:spacing w:val="0"/>
          <w:position w:val="0"/>
          <w:sz w:val="32"/>
          <w:szCs w:val="32"/>
        </w:rPr>
        <w:t>、生效时间</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本奖励扶持办法适用于2023年1月1日</w:t>
      </w:r>
      <w:r>
        <w:rPr>
          <w:rFonts w:hint="default" w:ascii="Times New Roman" w:hAnsi="Times New Roman" w:eastAsia="方正仿宋_GBK" w:cs="Times New Roman"/>
          <w:color w:val="auto"/>
          <w:spacing w:val="0"/>
          <w:position w:val="0"/>
          <w:sz w:val="32"/>
          <w:szCs w:val="32"/>
          <w:lang w:eastAsia="zh-CN"/>
        </w:rPr>
        <w:t>以后</w:t>
      </w:r>
      <w:r>
        <w:rPr>
          <w:rFonts w:hint="default" w:ascii="Times New Roman" w:hAnsi="Times New Roman" w:eastAsia="方正仿宋_GBK" w:cs="Times New Roman"/>
          <w:color w:val="auto"/>
          <w:spacing w:val="0"/>
          <w:position w:val="0"/>
          <w:sz w:val="32"/>
          <w:szCs w:val="32"/>
        </w:rPr>
        <w:t>新获证或参展的生产单位。2023年1月1日以前获证或到期换证的生产单位参照关于印发《开州区农产品品牌奖补扶持政策》的通知（开州农发〔2020〕69号）文件执行。</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附件：1</w:t>
      </w:r>
      <w:r>
        <w:rPr>
          <w:rFonts w:hint="eastAsia" w:ascii="Times New Roman" w:hAnsi="Times New Roman" w:eastAsia="方正仿宋_GBK" w:cs="Times New Roman"/>
          <w:color w:val="auto"/>
          <w:spacing w:val="0"/>
          <w:position w:val="0"/>
          <w:sz w:val="32"/>
          <w:szCs w:val="32"/>
          <w:lang w:val="en-US" w:eastAsia="zh-CN"/>
        </w:rPr>
        <w:t>．</w:t>
      </w:r>
      <w:r>
        <w:rPr>
          <w:rFonts w:hint="default" w:ascii="Times New Roman" w:hAnsi="Times New Roman" w:eastAsia="方正仿宋_GBK" w:cs="Times New Roman"/>
          <w:color w:val="auto"/>
          <w:spacing w:val="0"/>
          <w:position w:val="0"/>
          <w:sz w:val="32"/>
          <w:szCs w:val="32"/>
        </w:rPr>
        <w:t>开州区农产品品牌建设奖补兑现申请表</w:t>
      </w:r>
    </w:p>
    <w:p>
      <w:pPr>
        <w:keepNext w:val="0"/>
        <w:keepLines w:val="0"/>
        <w:pageBreakBefore w:val="0"/>
        <w:widowControl w:val="0"/>
        <w:numPr>
          <w:ilvl w:val="0"/>
          <w:numId w:val="1"/>
        </w:numPr>
        <w:kinsoku/>
        <w:overflowPunct/>
        <w:topLinePunct w:val="0"/>
        <w:autoSpaceDE/>
        <w:autoSpaceDN/>
        <w:bidi w:val="0"/>
        <w:adjustRightInd/>
        <w:snapToGrid/>
        <w:spacing w:line="600" w:lineRule="exact"/>
        <w:ind w:left="0" w:leftChars="0" w:right="0" w:rightChars="0" w:firstLine="1600" w:firstLineChars="500"/>
        <w:textAlignment w:val="auto"/>
        <w:rPr>
          <w:rFonts w:hint="default" w:ascii="Times New Roman" w:hAnsi="Times New Roman" w:eastAsia="方正仿宋_GBK" w:cs="Times New Roman"/>
          <w:color w:val="auto"/>
          <w:spacing w:val="0"/>
          <w:position w:val="0"/>
          <w:sz w:val="32"/>
          <w:szCs w:val="32"/>
        </w:rPr>
      </w:pPr>
      <w:r>
        <w:rPr>
          <w:rFonts w:hint="default" w:ascii="Times New Roman" w:hAnsi="Times New Roman" w:eastAsia="方正仿宋_GBK" w:cs="Times New Roman"/>
          <w:color w:val="auto"/>
          <w:spacing w:val="0"/>
          <w:position w:val="0"/>
          <w:sz w:val="32"/>
          <w:szCs w:val="32"/>
        </w:rPr>
        <w:t>开州区农产品品牌建设奖补兑现汇总表</w:t>
      </w:r>
    </w:p>
    <w:p>
      <w:pPr>
        <w:pStyle w:val="2"/>
        <w:keepNext/>
        <w:keepLines/>
        <w:widowControl w:val="0"/>
        <w:numPr>
          <w:ilvl w:val="0"/>
          <w:numId w:val="0"/>
        </w:numPr>
        <w:spacing w:before="280" w:after="290" w:line="372" w:lineRule="auto"/>
        <w:jc w:val="both"/>
        <w:outlineLvl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bookmarkEnd w:id="0"/>
    <w:p>
      <w:pPr>
        <w:keepNext w:val="0"/>
        <w:keepLines w:val="0"/>
        <w:pageBreakBefore w:val="0"/>
        <w:widowControl w:val="0"/>
        <w:kinsoku/>
        <w:overflowPunct/>
        <w:topLinePunct w:val="0"/>
        <w:autoSpaceDE/>
        <w:autoSpaceDN/>
        <w:bidi w:val="0"/>
        <w:adjustRightInd/>
        <w:snapToGrid/>
        <w:spacing w:line="600" w:lineRule="exact"/>
        <w:ind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pPr>
      <w:r>
        <w:drawing>
          <wp:inline distT="0" distB="0" distL="114300" distR="114300">
            <wp:extent cx="5613400" cy="676084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3400" cy="6760845"/>
                    </a:xfrm>
                    <a:prstGeom prst="rect">
                      <a:avLst/>
                    </a:prstGeom>
                    <a:noFill/>
                    <a:ln>
                      <a:noFill/>
                    </a:ln>
                  </pic:spPr>
                </pic:pic>
              </a:graphicData>
            </a:graphic>
          </wp:inline>
        </w:drawing>
      </w:r>
    </w:p>
    <w:p/>
    <w:p>
      <w:pPr>
        <w:jc w:val="center"/>
        <w:rPr>
          <w:rFonts w:hint="default"/>
          <w:lang w:val="en-US" w:eastAsia="zh-CN"/>
        </w:rPr>
      </w:pPr>
      <w:r>
        <w:drawing>
          <wp:inline distT="0" distB="0" distL="114300" distR="114300">
            <wp:extent cx="5614670" cy="6636385"/>
            <wp:effectExtent l="0" t="0" r="5080"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614670" cy="6636385"/>
                    </a:xfrm>
                    <a:prstGeom prst="rect">
                      <a:avLst/>
                    </a:prstGeom>
                    <a:noFill/>
                    <a:ln>
                      <a:noFill/>
                    </a:ln>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BF43C"/>
    <w:multiLevelType w:val="singleLevel"/>
    <w:tmpl w:val="15DBF43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YTY0MDQ2NDJjNDE4YWRmYWFhNTRhMTFlYzJiM2IifQ=="/>
    <w:docVar w:name="KSO_WPS_MARK_KEY" w:val="a02318a9-b5ec-43c2-9a1e-86f863e30d8c"/>
  </w:docVars>
  <w:rsids>
    <w:rsidRoot w:val="00172A27"/>
    <w:rsid w:val="00050D4B"/>
    <w:rsid w:val="019E71BD"/>
    <w:rsid w:val="01E93D58"/>
    <w:rsid w:val="04B679C3"/>
    <w:rsid w:val="05F07036"/>
    <w:rsid w:val="06E00104"/>
    <w:rsid w:val="080F63D8"/>
    <w:rsid w:val="09341458"/>
    <w:rsid w:val="098254C2"/>
    <w:rsid w:val="0A766EDE"/>
    <w:rsid w:val="0AD64BE8"/>
    <w:rsid w:val="0B0912D7"/>
    <w:rsid w:val="0E025194"/>
    <w:rsid w:val="0EEF0855"/>
    <w:rsid w:val="111E4CE5"/>
    <w:rsid w:val="11DB7C71"/>
    <w:rsid w:val="152D2DCA"/>
    <w:rsid w:val="187168EA"/>
    <w:rsid w:val="196673CA"/>
    <w:rsid w:val="1A2C488B"/>
    <w:rsid w:val="1CF734C9"/>
    <w:rsid w:val="1DEC284C"/>
    <w:rsid w:val="1E6523AC"/>
    <w:rsid w:val="1E7400B2"/>
    <w:rsid w:val="1EC01CE7"/>
    <w:rsid w:val="22440422"/>
    <w:rsid w:val="22BB4BBB"/>
    <w:rsid w:val="25EB1AF4"/>
    <w:rsid w:val="290961C8"/>
    <w:rsid w:val="2DD05FE1"/>
    <w:rsid w:val="2EAE3447"/>
    <w:rsid w:val="31A15F24"/>
    <w:rsid w:val="36FB1DF0"/>
    <w:rsid w:val="395347B5"/>
    <w:rsid w:val="39A232A0"/>
    <w:rsid w:val="39E745AA"/>
    <w:rsid w:val="3B5A6BBB"/>
    <w:rsid w:val="3CA154E3"/>
    <w:rsid w:val="3EDA13A6"/>
    <w:rsid w:val="3FF56C14"/>
    <w:rsid w:val="40DB0FE0"/>
    <w:rsid w:val="417B75E9"/>
    <w:rsid w:val="42430A63"/>
    <w:rsid w:val="42F058B7"/>
    <w:rsid w:val="436109F6"/>
    <w:rsid w:val="441A38D4"/>
    <w:rsid w:val="445F50A6"/>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542593"/>
    <w:rsid w:val="5FCD688E"/>
    <w:rsid w:val="5FF9BDAA"/>
    <w:rsid w:val="608816D1"/>
    <w:rsid w:val="60EF4E7F"/>
    <w:rsid w:val="648B0A32"/>
    <w:rsid w:val="658F6764"/>
    <w:rsid w:val="665233C1"/>
    <w:rsid w:val="69AC0D42"/>
    <w:rsid w:val="6AD9688B"/>
    <w:rsid w:val="6B68303F"/>
    <w:rsid w:val="6D0E3F22"/>
    <w:rsid w:val="714F2094"/>
    <w:rsid w:val="744E4660"/>
    <w:rsid w:val="753355A2"/>
    <w:rsid w:val="759F1C61"/>
    <w:rsid w:val="769F2DE8"/>
    <w:rsid w:val="76C36273"/>
    <w:rsid w:val="76FDEB7C"/>
    <w:rsid w:val="79C65162"/>
    <w:rsid w:val="79EE7E31"/>
    <w:rsid w:val="7B8A4124"/>
    <w:rsid w:val="7C9011D9"/>
    <w:rsid w:val="7CE53EE9"/>
    <w:rsid w:val="7D3F20B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2064</Words>
  <Characters>2134</Characters>
  <Lines>1</Lines>
  <Paragraphs>1</Paragraphs>
  <TotalTime>3</TotalTime>
  <ScaleCrop>false</ScaleCrop>
  <LinksUpToDate>false</LinksUpToDate>
  <CharactersWithSpaces>2137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开州区农业农村委杨国辉</cp:lastModifiedBy>
  <cp:lastPrinted>2022-06-06T16:09:00Z</cp:lastPrinted>
  <dcterms:modified xsi:type="dcterms:W3CDTF">2024-01-31T09:30:01Z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48C61CB29D3F4D9384F5922CF0F7FFB4</vt:lpwstr>
  </property>
</Properties>
</file>