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rFonts w:eastAsia="新宋体"/>
          <w:color w:val="FF0000"/>
          <w:sz w:val="32"/>
          <w:szCs w:val="32"/>
        </w:rPr>
      </w:pPr>
      <w:r>
        <w:rPr>
          <w:rFonts w:eastAsia="新宋体"/>
          <w:color w:val="FF0000"/>
          <w:sz w:val="32"/>
          <w:szCs w:val="32"/>
        </w:rPr>
        <w:pict>
          <v:shape id="_x0000_i1025" o:spt="136" type="#_x0000_t136" style="height:93pt;width:441.75pt;" fillcolor="#FF0000" filled="t" stroked="t" coordsize="21600,21600">
            <v:path/>
            <v:fill on="t" focussize="0,0"/>
            <v:stroke weight="1pt" color="#FF0000"/>
            <v:imagedata o:title=""/>
            <o:lock v:ext="edit"/>
            <v:textpath on="t" fitpath="t" trim="t" xscale="f" string="重庆市开州区国土绿化服务中心" style="font-family:新宋体;font-size:36pt;font-weight:bold;v-text-align:center;"/>
            <v:shadow on="t" color="#B2B2B2" opacity="52428f" offset="0.000236220472440945pt,0pt" offset2="-2pt,-2pt"/>
            <w10:wrap type="none"/>
            <w10:anchorlock/>
          </v:shape>
        </w:pict>
      </w:r>
    </w:p>
    <w:p>
      <w:pPr>
        <w:jc w:val="center"/>
        <w:rPr>
          <w:rFonts w:eastAsia="新宋体"/>
          <w:color w:val="FF0000"/>
          <w:sz w:val="32"/>
          <w:szCs w:val="32"/>
        </w:rPr>
      </w:pPr>
    </w:p>
    <w:p>
      <w:pPr>
        <w:jc w:val="center"/>
        <w:rPr>
          <w:rFonts w:eastAsia="仿宋"/>
          <w:b/>
          <w:szCs w:val="21"/>
        </w:rPr>
      </w:pPr>
      <w:r>
        <w:rPr>
          <w:rFonts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361315</wp:posOffset>
                </wp:positionV>
                <wp:extent cx="5633720" cy="1905"/>
                <wp:effectExtent l="17780" t="18415" r="15875" b="1778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633720" cy="1905"/>
                        </a:xfrm>
                        <a:prstGeom prst="straightConnector1">
                          <a:avLst/>
                        </a:prstGeom>
                        <a:noFill/>
                        <a:ln w="28575">
                          <a:solidFill>
                            <a:srgbClr val="FF0000"/>
                          </a:solidFill>
                          <a:round/>
                        </a:ln>
                      </wps:spPr>
                      <wps:bodyPr/>
                    </wps:wsp>
                  </a:graphicData>
                </a:graphic>
              </wp:anchor>
            </w:drawing>
          </mc:Choice>
          <mc:Fallback>
            <w:pict>
              <v:shape id="_x0000_s1026" o:spid="_x0000_s1026" o:spt="32" type="#_x0000_t32" style="position:absolute;left:0pt;margin-left:8.9pt;margin-top:28.45pt;height:0.15pt;width:443.6pt;z-index:251659264;mso-width-relative:page;mso-height-relative:page;" filled="f" stroked="t" coordsize="21600,21600" o:gfxdata="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eScA1gAAAAgBAAAP&#10;AAAAAAAAAAEAIAAAACIAAABkcnMvZG93bnJldi54bWxQSwECFAAUAAAACACHTuJAwpeBmeEBAAB0&#10;AwAADgAAAAAAAAABACAAAAAlAQAAZHJzL2Uyb0RvYy54bWxQSwUGAAAAAAYABgBZAQAAeAUAAAAA&#10;">
                <v:fill on="f" focussize="0,0"/>
                <v:stroke weight="2.25pt" color="#FF0000" joinstyle="round"/>
                <v:imagedata o:title=""/>
                <o:lock v:ext="edit" aspectratio="f"/>
              </v:shape>
            </w:pict>
          </mc:Fallback>
        </mc:AlternateContent>
      </w:r>
      <w:r>
        <w:rPr>
          <w:rFonts w:hint="eastAsia" w:eastAsia="仿宋_GB2312"/>
          <w:sz w:val="32"/>
          <w:szCs w:val="32"/>
        </w:rPr>
        <w:t xml:space="preserve">  </w:t>
      </w:r>
      <w:r>
        <w:rPr>
          <w:rFonts w:eastAsia="仿宋_GB2312"/>
          <w:sz w:val="32"/>
          <w:szCs w:val="32"/>
        </w:rPr>
        <w:t>开州</w:t>
      </w:r>
      <w:r>
        <w:rPr>
          <w:rFonts w:hint="eastAsia" w:eastAsia="仿宋_GB2312"/>
          <w:sz w:val="32"/>
          <w:szCs w:val="32"/>
        </w:rPr>
        <w:t>国绿</w:t>
      </w:r>
      <w:r>
        <w:rPr>
          <w:rFonts w:eastAsia="仿宋_GB2312"/>
          <w:sz w:val="32"/>
          <w:szCs w:val="32"/>
        </w:rPr>
        <w:t>〔202</w:t>
      </w:r>
      <w:r>
        <w:rPr>
          <w:rFonts w:hint="eastAsia" w:eastAsia="仿宋_GB2312"/>
          <w:sz w:val="32"/>
          <w:szCs w:val="32"/>
        </w:rPr>
        <w:t>4</w:t>
      </w:r>
      <w:r>
        <w:rPr>
          <w:rFonts w:eastAsia="仿宋_GB2312"/>
          <w:sz w:val="32"/>
          <w:szCs w:val="32"/>
        </w:rPr>
        <w:t>〕</w:t>
      </w:r>
      <w:r>
        <w:rPr>
          <w:rFonts w:hint="eastAsia" w:eastAsia="仿宋_GB2312"/>
          <w:sz w:val="32"/>
          <w:szCs w:val="32"/>
        </w:rPr>
        <w:t>1</w:t>
      </w:r>
      <w:r>
        <w:rPr>
          <w:rFonts w:eastAsia="仿宋_GB2312"/>
          <w:sz w:val="32"/>
          <w:szCs w:val="32"/>
        </w:rPr>
        <w:t>号</w:t>
      </w:r>
      <w:r>
        <w:rPr>
          <w:rFonts w:eastAsia="仿宋"/>
          <w:sz w:val="28"/>
          <w:szCs w:val="28"/>
        </w:rPr>
        <w:t xml:space="preserve">                 </w:t>
      </w:r>
      <w:r>
        <w:rPr>
          <w:rFonts w:hint="eastAsia" w:eastAsia="仿宋"/>
          <w:sz w:val="28"/>
          <w:szCs w:val="28"/>
        </w:rPr>
        <w:t xml:space="preserve">  </w:t>
      </w:r>
      <w:r>
        <w:rPr>
          <w:rFonts w:eastAsia="仿宋"/>
          <w:sz w:val="28"/>
          <w:szCs w:val="28"/>
        </w:rPr>
        <w:t xml:space="preserve">  </w:t>
      </w:r>
      <w:r>
        <w:rPr>
          <w:rFonts w:eastAsia="仿宋_GB2312"/>
          <w:sz w:val="32"/>
          <w:szCs w:val="32"/>
        </w:rPr>
        <w:t>签发人</w:t>
      </w:r>
      <w:r>
        <w:rPr>
          <w:rFonts w:hAnsi="仿宋" w:eastAsia="仿宋"/>
          <w:sz w:val="28"/>
          <w:szCs w:val="28"/>
        </w:rPr>
        <w:t>：</w:t>
      </w:r>
      <w:r>
        <w:rPr>
          <w:rFonts w:hint="eastAsia" w:hAnsi="方正楷体_GBK" w:eastAsia="方正楷体_GBK"/>
          <w:sz w:val="32"/>
          <w:szCs w:val="32"/>
        </w:rPr>
        <w:t>彭伟</w:t>
      </w:r>
    </w:p>
    <w:p>
      <w:pPr>
        <w:jc w:val="center"/>
        <w:rPr>
          <w:b/>
          <w:szCs w:val="21"/>
        </w:rPr>
      </w:pPr>
    </w:p>
    <w:p>
      <w:pPr>
        <w:jc w:val="center"/>
        <w:rPr>
          <w:b/>
          <w:szCs w:val="21"/>
        </w:rPr>
      </w:pPr>
    </w:p>
    <w:p>
      <w:pPr>
        <w:spacing w:before="156" w:beforeLines="50" w:line="600" w:lineRule="exact"/>
        <w:jc w:val="center"/>
        <w:rPr>
          <w:rFonts w:eastAsia="方正小标宋_GBK"/>
          <w:bCs/>
          <w:sz w:val="44"/>
          <w:szCs w:val="44"/>
        </w:rPr>
      </w:pPr>
      <w:r>
        <w:rPr>
          <w:rFonts w:hAnsi="方正小标宋_GBK" w:eastAsia="方正小标宋_GBK"/>
          <w:bCs/>
          <w:sz w:val="44"/>
          <w:szCs w:val="44"/>
        </w:rPr>
        <w:t>重庆市开州区</w:t>
      </w:r>
      <w:r>
        <w:rPr>
          <w:rFonts w:hint="eastAsia" w:hAnsi="方正小标宋_GBK" w:eastAsia="方正小标宋_GBK"/>
          <w:bCs/>
          <w:sz w:val="44"/>
          <w:szCs w:val="44"/>
        </w:rPr>
        <w:t>国土绿化服务中心</w:t>
      </w:r>
    </w:p>
    <w:p>
      <w:pPr>
        <w:spacing w:line="600" w:lineRule="exact"/>
        <w:jc w:val="center"/>
        <w:rPr>
          <w:rFonts w:eastAsia="方正小标宋_GBK"/>
          <w:sz w:val="44"/>
          <w:szCs w:val="44"/>
        </w:rPr>
      </w:pPr>
      <w:r>
        <w:rPr>
          <w:rFonts w:hint="eastAsia" w:eastAsia="方正小标宋_GBK"/>
          <w:sz w:val="44"/>
          <w:szCs w:val="44"/>
        </w:rPr>
        <w:t>关于</w:t>
      </w:r>
      <w:r>
        <w:rPr>
          <w:rFonts w:eastAsia="方正小标宋_GBK"/>
          <w:sz w:val="44"/>
          <w:szCs w:val="44"/>
        </w:rPr>
        <w:t>2024</w:t>
      </w:r>
      <w:r>
        <w:rPr>
          <w:rFonts w:hint="eastAsia" w:eastAsia="方正小标宋_GBK"/>
          <w:sz w:val="44"/>
          <w:szCs w:val="44"/>
        </w:rPr>
        <w:t>年部门预算情况公开的公告</w:t>
      </w:r>
    </w:p>
    <w:p>
      <w:pPr>
        <w:ind w:firstLine="640" w:firstLineChars="200"/>
        <w:rPr>
          <w:rFonts w:eastAsia="方正仿宋_GBK"/>
          <w:sz w:val="32"/>
          <w:szCs w:val="32"/>
        </w:rPr>
      </w:pPr>
    </w:p>
    <w:p>
      <w:pPr>
        <w:ind w:firstLine="640" w:firstLineChars="200"/>
        <w:rPr>
          <w:rFonts w:eastAsia="方正仿宋_GBK"/>
          <w:sz w:val="32"/>
          <w:szCs w:val="32"/>
        </w:rPr>
      </w:pPr>
      <w:r>
        <w:rPr>
          <w:rFonts w:eastAsia="方正仿宋_GBK"/>
          <w:sz w:val="32"/>
          <w:szCs w:val="32"/>
        </w:rPr>
        <w:t>按照有关财政预算公开的部署和要求，依据《中华人民共和国政府信息公开条例》（国务院令第492号）和</w:t>
      </w:r>
      <w:r>
        <w:rPr>
          <w:rFonts w:hint="eastAsia" w:eastAsia="方正仿宋_GBK"/>
          <w:sz w:val="32"/>
          <w:szCs w:val="32"/>
        </w:rPr>
        <w:t>重庆市开州区林业局《关于下达</w:t>
      </w:r>
      <w:r>
        <w:rPr>
          <w:rFonts w:eastAsia="方正仿宋_GBK"/>
          <w:sz w:val="32"/>
          <w:szCs w:val="32"/>
        </w:rPr>
        <w:t>2024</w:t>
      </w:r>
      <w:r>
        <w:rPr>
          <w:rFonts w:hint="eastAsia" w:eastAsia="方正仿宋_GBK"/>
          <w:sz w:val="32"/>
          <w:szCs w:val="32"/>
        </w:rPr>
        <w:t>年部门预算的通知》（开州林发〔</w:t>
      </w:r>
      <w:r>
        <w:rPr>
          <w:rFonts w:eastAsia="方正仿宋_GBK"/>
          <w:sz w:val="32"/>
          <w:szCs w:val="32"/>
        </w:rPr>
        <w:t>2024</w:t>
      </w:r>
      <w:r>
        <w:rPr>
          <w:rFonts w:hint="eastAsia" w:eastAsia="方正仿宋_GBK"/>
          <w:sz w:val="32"/>
          <w:szCs w:val="32"/>
        </w:rPr>
        <w:t>〕</w:t>
      </w:r>
      <w:r>
        <w:rPr>
          <w:rFonts w:eastAsia="方正仿宋_GBK"/>
          <w:sz w:val="32"/>
          <w:szCs w:val="32"/>
        </w:rPr>
        <w:t>14</w:t>
      </w:r>
      <w:r>
        <w:rPr>
          <w:rFonts w:hint="eastAsia" w:eastAsia="方正仿宋_GBK"/>
          <w:sz w:val="32"/>
          <w:szCs w:val="32"/>
        </w:rPr>
        <w:t>号），</w:t>
      </w:r>
      <w:r>
        <w:rPr>
          <w:rFonts w:eastAsia="方正仿宋_GBK"/>
          <w:sz w:val="32"/>
          <w:szCs w:val="32"/>
        </w:rPr>
        <w:t>现将重庆市开州区</w:t>
      </w:r>
      <w:r>
        <w:rPr>
          <w:rFonts w:hint="eastAsia" w:eastAsia="方正仿宋_GBK"/>
          <w:sz w:val="32"/>
          <w:szCs w:val="32"/>
        </w:rPr>
        <w:t>国土绿化服务中心</w:t>
      </w:r>
      <w:r>
        <w:rPr>
          <w:rFonts w:eastAsia="方正仿宋_GBK"/>
          <w:sz w:val="32"/>
          <w:szCs w:val="32"/>
        </w:rPr>
        <w:t>2024年部门预算批复情况公开如下：</w:t>
      </w:r>
    </w:p>
    <w:p>
      <w:pPr>
        <w:jc w:val="center"/>
        <w:rPr>
          <w:rFonts w:ascii="方正小标宋_GBK" w:eastAsia="方正小标宋_GBK"/>
          <w:sz w:val="44"/>
          <w:szCs w:val="44"/>
        </w:rPr>
      </w:pPr>
      <w:r>
        <w:rPr>
          <w:rFonts w:hint="eastAsia" w:ascii="方正小标宋_GBK" w:eastAsia="方正小标宋_GBK"/>
          <w:sz w:val="44"/>
          <w:szCs w:val="44"/>
        </w:rPr>
        <w:t>目    录</w:t>
      </w:r>
    </w:p>
    <w:p/>
    <w:p>
      <w:pPr>
        <w:jc w:val="center"/>
        <w:rPr>
          <w:rFonts w:eastAsia="方正楷体_GBK"/>
          <w:sz w:val="32"/>
          <w:szCs w:val="32"/>
        </w:rPr>
      </w:pPr>
      <w:r>
        <w:rPr>
          <w:rFonts w:eastAsia="方正楷体_GBK"/>
          <w:sz w:val="32"/>
          <w:szCs w:val="32"/>
        </w:rPr>
        <w:t>第一部分：2024年部门预算情况说明</w:t>
      </w:r>
    </w:p>
    <w:p/>
    <w:p>
      <w:pPr>
        <w:spacing w:line="600" w:lineRule="exact"/>
        <w:rPr>
          <w:rFonts w:eastAsia="方正仿宋_GBK"/>
          <w:sz w:val="32"/>
          <w:szCs w:val="32"/>
        </w:rPr>
      </w:pPr>
      <w:r>
        <w:rPr>
          <w:rFonts w:eastAsia="方正仿宋_GBK"/>
          <w:sz w:val="32"/>
          <w:szCs w:val="32"/>
        </w:rPr>
        <w:t>一、单位基本情况</w:t>
      </w:r>
    </w:p>
    <w:p>
      <w:pPr>
        <w:spacing w:line="600" w:lineRule="exact"/>
        <w:rPr>
          <w:rFonts w:eastAsia="方正仿宋_GBK"/>
          <w:sz w:val="32"/>
          <w:szCs w:val="32"/>
        </w:rPr>
      </w:pPr>
      <w:r>
        <w:rPr>
          <w:rFonts w:eastAsia="方正仿宋_GBK"/>
          <w:sz w:val="32"/>
          <w:szCs w:val="32"/>
        </w:rPr>
        <w:t>二、部门收支总体情况</w:t>
      </w:r>
    </w:p>
    <w:p>
      <w:pPr>
        <w:spacing w:line="600" w:lineRule="exact"/>
        <w:rPr>
          <w:rFonts w:eastAsia="方正仿宋_GBK"/>
          <w:sz w:val="32"/>
          <w:szCs w:val="32"/>
        </w:rPr>
      </w:pPr>
      <w:r>
        <w:rPr>
          <w:rFonts w:eastAsia="方正仿宋_GBK"/>
          <w:sz w:val="32"/>
          <w:szCs w:val="32"/>
        </w:rPr>
        <w:t>三、部门预算情况说明</w:t>
      </w:r>
    </w:p>
    <w:p>
      <w:pPr>
        <w:spacing w:line="600" w:lineRule="exact"/>
        <w:rPr>
          <w:rFonts w:eastAsia="方正仿宋_GBK"/>
          <w:sz w:val="32"/>
          <w:szCs w:val="32"/>
        </w:rPr>
      </w:pPr>
      <w:r>
        <w:rPr>
          <w:rFonts w:eastAsia="方正仿宋_GBK"/>
          <w:sz w:val="32"/>
          <w:szCs w:val="32"/>
        </w:rPr>
        <w:t>四、</w:t>
      </w:r>
      <w:r>
        <w:rPr>
          <w:rFonts w:hint="eastAsia" w:ascii="方正仿宋_GBK" w:eastAsia="方正仿宋_GBK"/>
          <w:sz w:val="32"/>
          <w:szCs w:val="32"/>
        </w:rPr>
        <w:t>“三公”经费</w:t>
      </w:r>
      <w:r>
        <w:rPr>
          <w:rFonts w:eastAsia="方正仿宋_GBK"/>
          <w:sz w:val="32"/>
          <w:szCs w:val="32"/>
        </w:rPr>
        <w:t>情况说明</w:t>
      </w:r>
    </w:p>
    <w:p>
      <w:pPr>
        <w:spacing w:line="600" w:lineRule="exact"/>
        <w:rPr>
          <w:rFonts w:eastAsia="方正仿宋_GBK"/>
          <w:sz w:val="32"/>
          <w:szCs w:val="32"/>
        </w:rPr>
      </w:pPr>
      <w:r>
        <w:rPr>
          <w:rFonts w:eastAsia="方正仿宋_GBK"/>
          <w:sz w:val="32"/>
          <w:szCs w:val="32"/>
        </w:rPr>
        <w:t>五、其他重要事项的情况说明</w:t>
      </w:r>
    </w:p>
    <w:p>
      <w:pPr>
        <w:rPr>
          <w:rFonts w:eastAsia="方正仿宋_GBK"/>
          <w:sz w:val="32"/>
          <w:szCs w:val="32"/>
        </w:rPr>
      </w:pPr>
      <w:r>
        <w:rPr>
          <w:rFonts w:eastAsia="方正仿宋_GBK"/>
          <w:sz w:val="32"/>
          <w:szCs w:val="32"/>
        </w:rPr>
        <w:t>六、专业性名词解释</w:t>
      </w:r>
    </w:p>
    <w:p>
      <w:pPr>
        <w:rPr>
          <w:rFonts w:eastAsia="方正仿宋_GBK"/>
          <w:sz w:val="32"/>
          <w:szCs w:val="32"/>
        </w:rPr>
      </w:pPr>
    </w:p>
    <w:p>
      <w:pPr>
        <w:jc w:val="center"/>
      </w:pPr>
      <w:r>
        <w:rPr>
          <w:rFonts w:eastAsia="方正楷体_GBK"/>
          <w:sz w:val="32"/>
          <w:szCs w:val="32"/>
        </w:rPr>
        <w:t>第二部分：2024年部门预算</w:t>
      </w:r>
      <w:r>
        <w:rPr>
          <w:rFonts w:hint="eastAsia" w:eastAsia="方正楷体_GBK"/>
          <w:sz w:val="32"/>
          <w:szCs w:val="32"/>
        </w:rPr>
        <w:t>公开报</w:t>
      </w:r>
      <w:r>
        <w:rPr>
          <w:rFonts w:eastAsia="方正楷体_GBK"/>
          <w:sz w:val="32"/>
          <w:szCs w:val="32"/>
        </w:rPr>
        <w:t>表</w:t>
      </w:r>
    </w:p>
    <w:p/>
    <w:p>
      <w:pPr>
        <w:rPr>
          <w:rFonts w:eastAsia="方正仿宋_GBK"/>
          <w:sz w:val="32"/>
          <w:szCs w:val="32"/>
        </w:rPr>
      </w:pPr>
      <w:r>
        <w:rPr>
          <w:rFonts w:eastAsia="方正仿宋_GBK"/>
          <w:sz w:val="32"/>
          <w:szCs w:val="32"/>
        </w:rPr>
        <w:t>表1、重庆市开州区</w:t>
      </w:r>
      <w:r>
        <w:rPr>
          <w:rFonts w:hint="eastAsia" w:eastAsia="方正仿宋_GBK"/>
          <w:sz w:val="32"/>
          <w:szCs w:val="32"/>
        </w:rPr>
        <w:t>国土绿化服务中心收支预算总表</w:t>
      </w:r>
    </w:p>
    <w:p>
      <w:pPr>
        <w:rPr>
          <w:rFonts w:eastAsia="方正仿宋_GBK"/>
          <w:sz w:val="32"/>
          <w:szCs w:val="32"/>
        </w:rPr>
      </w:pPr>
      <w:r>
        <w:rPr>
          <w:rFonts w:eastAsia="方正仿宋_GBK"/>
          <w:sz w:val="32"/>
          <w:szCs w:val="32"/>
        </w:rPr>
        <w:t>表2、重庆市开州区</w:t>
      </w:r>
      <w:r>
        <w:rPr>
          <w:rFonts w:hint="eastAsia" w:eastAsia="方正仿宋_GBK"/>
          <w:sz w:val="32"/>
          <w:szCs w:val="32"/>
        </w:rPr>
        <w:t>国土绿化服务中心</w:t>
      </w:r>
      <w:r>
        <w:rPr>
          <w:rFonts w:eastAsia="方正仿宋_GBK"/>
          <w:sz w:val="32"/>
          <w:szCs w:val="32"/>
        </w:rPr>
        <w:t>收入总表</w:t>
      </w:r>
    </w:p>
    <w:p>
      <w:pPr>
        <w:rPr>
          <w:rFonts w:eastAsia="方正仿宋_GBK"/>
          <w:sz w:val="32"/>
          <w:szCs w:val="32"/>
        </w:rPr>
      </w:pPr>
      <w:r>
        <w:rPr>
          <w:rFonts w:eastAsia="方正仿宋_GBK"/>
          <w:sz w:val="32"/>
          <w:szCs w:val="32"/>
        </w:rPr>
        <w:t>表3、重庆市开州区</w:t>
      </w:r>
      <w:r>
        <w:rPr>
          <w:rFonts w:hint="eastAsia" w:eastAsia="方正仿宋_GBK"/>
          <w:sz w:val="32"/>
          <w:szCs w:val="32"/>
        </w:rPr>
        <w:t>国土绿化服务中心本年</w:t>
      </w:r>
      <w:r>
        <w:rPr>
          <w:rFonts w:eastAsia="方正仿宋_GBK"/>
          <w:sz w:val="32"/>
          <w:szCs w:val="32"/>
        </w:rPr>
        <w:t>支出</w:t>
      </w:r>
      <w:r>
        <w:rPr>
          <w:rFonts w:hint="eastAsia" w:eastAsia="方正仿宋_GBK"/>
          <w:sz w:val="32"/>
          <w:szCs w:val="32"/>
        </w:rPr>
        <w:t>预算总</w:t>
      </w:r>
      <w:r>
        <w:rPr>
          <w:rFonts w:eastAsia="方正仿宋_GBK"/>
          <w:sz w:val="32"/>
          <w:szCs w:val="32"/>
        </w:rPr>
        <w:t>表</w:t>
      </w:r>
    </w:p>
    <w:p>
      <w:pPr>
        <w:rPr>
          <w:rFonts w:eastAsia="方正仿宋_GBK"/>
          <w:sz w:val="32"/>
          <w:szCs w:val="32"/>
        </w:rPr>
      </w:pPr>
      <w:r>
        <w:rPr>
          <w:rFonts w:eastAsia="方正仿宋_GBK"/>
          <w:sz w:val="32"/>
          <w:szCs w:val="32"/>
        </w:rPr>
        <w:t>表4、重庆市开州区</w:t>
      </w:r>
      <w:r>
        <w:rPr>
          <w:rFonts w:hint="eastAsia" w:eastAsia="方正仿宋_GBK"/>
          <w:sz w:val="32"/>
          <w:szCs w:val="32"/>
        </w:rPr>
        <w:t>国土绿化服务中心</w:t>
      </w:r>
      <w:r>
        <w:rPr>
          <w:rFonts w:eastAsia="方正仿宋_GBK"/>
          <w:sz w:val="32"/>
          <w:szCs w:val="32"/>
        </w:rPr>
        <w:t>财政拨款收支</w:t>
      </w:r>
      <w:r>
        <w:rPr>
          <w:rFonts w:hint="eastAsia" w:eastAsia="方正仿宋_GBK"/>
          <w:sz w:val="32"/>
          <w:szCs w:val="32"/>
        </w:rPr>
        <w:t>预算总</w:t>
      </w:r>
      <w:r>
        <w:rPr>
          <w:rFonts w:eastAsia="方正仿宋_GBK"/>
          <w:sz w:val="32"/>
          <w:szCs w:val="32"/>
        </w:rPr>
        <w:t>表</w:t>
      </w:r>
    </w:p>
    <w:p>
      <w:pPr>
        <w:rPr>
          <w:rFonts w:eastAsia="方正仿宋_GBK"/>
          <w:sz w:val="32"/>
          <w:szCs w:val="32"/>
        </w:rPr>
      </w:pPr>
      <w:r>
        <w:rPr>
          <w:rFonts w:eastAsia="方正仿宋_GBK"/>
          <w:sz w:val="32"/>
          <w:szCs w:val="32"/>
        </w:rPr>
        <w:t>表5、重庆市开州区</w:t>
      </w:r>
      <w:r>
        <w:rPr>
          <w:rFonts w:hint="eastAsia" w:eastAsia="方正仿宋_GBK"/>
          <w:sz w:val="32"/>
          <w:szCs w:val="32"/>
        </w:rPr>
        <w:t>国土绿化服务中心本年</w:t>
      </w:r>
      <w:r>
        <w:rPr>
          <w:rFonts w:eastAsia="方正仿宋_GBK"/>
          <w:sz w:val="32"/>
          <w:szCs w:val="32"/>
        </w:rPr>
        <w:t>一般公共预算支出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表6、重庆市开州区</w:t>
      </w:r>
      <w:r>
        <w:rPr>
          <w:rFonts w:hint="eastAsia" w:eastAsia="方正仿宋_GBK"/>
          <w:sz w:val="32"/>
          <w:szCs w:val="32"/>
        </w:rPr>
        <w:t>国土绿化服务中心</w:t>
      </w:r>
      <w:r>
        <w:rPr>
          <w:rFonts w:eastAsia="方正仿宋_GBK"/>
          <w:sz w:val="32"/>
          <w:szCs w:val="32"/>
        </w:rPr>
        <w:t>一般公共预算基本支出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表7、重庆市开州区</w:t>
      </w:r>
      <w:r>
        <w:rPr>
          <w:rFonts w:hint="eastAsia" w:eastAsia="方正仿宋_GBK"/>
          <w:sz w:val="32"/>
          <w:szCs w:val="32"/>
        </w:rPr>
        <w:t>国土绿化服务中心</w:t>
      </w:r>
      <w:r>
        <w:rPr>
          <w:rFonts w:eastAsia="方正仿宋_GBK"/>
          <w:sz w:val="32"/>
          <w:szCs w:val="32"/>
        </w:rPr>
        <w:t>一般公共预</w:t>
      </w:r>
      <w:r>
        <w:rPr>
          <w:rFonts w:hint="eastAsia" w:ascii="方正仿宋_GBK" w:eastAsia="方正仿宋_GBK"/>
          <w:sz w:val="32"/>
          <w:szCs w:val="32"/>
        </w:rPr>
        <w:t>算“三公”经费</w:t>
      </w:r>
      <w:r>
        <w:rPr>
          <w:rFonts w:eastAsia="方正仿宋_GBK"/>
          <w:sz w:val="32"/>
          <w:szCs w:val="32"/>
        </w:rPr>
        <w:t>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表8、重庆市开州区</w:t>
      </w:r>
      <w:r>
        <w:rPr>
          <w:rFonts w:hint="eastAsia" w:eastAsia="方正仿宋_GBK"/>
          <w:sz w:val="32"/>
          <w:szCs w:val="32"/>
        </w:rPr>
        <w:t>国土绿化服务中心</w:t>
      </w:r>
      <w:r>
        <w:rPr>
          <w:rFonts w:eastAsia="方正仿宋_GBK"/>
          <w:sz w:val="32"/>
          <w:szCs w:val="32"/>
        </w:rPr>
        <w:t>政府性基金预算支出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表9、重庆市开州区</w:t>
      </w:r>
      <w:r>
        <w:rPr>
          <w:rFonts w:hint="eastAsia" w:eastAsia="方正仿宋_GBK"/>
          <w:sz w:val="32"/>
          <w:szCs w:val="32"/>
        </w:rPr>
        <w:t>国土绿化服务中心</w:t>
      </w:r>
      <w:r>
        <w:rPr>
          <w:rFonts w:eastAsia="方正仿宋_GBK"/>
          <w:sz w:val="32"/>
          <w:szCs w:val="32"/>
        </w:rPr>
        <w:t>国有资本经营预算支出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表10、重庆市开州区</w:t>
      </w:r>
      <w:r>
        <w:rPr>
          <w:rFonts w:hint="eastAsia" w:eastAsia="方正仿宋_GBK"/>
          <w:sz w:val="32"/>
          <w:szCs w:val="32"/>
        </w:rPr>
        <w:t>国土绿化服务中心</w:t>
      </w:r>
      <w:r>
        <w:rPr>
          <w:rFonts w:eastAsia="方正仿宋_GBK"/>
          <w:sz w:val="32"/>
          <w:szCs w:val="32"/>
        </w:rPr>
        <w:t>项目支出表</w:t>
      </w:r>
    </w:p>
    <w:p>
      <w:pPr>
        <w:rPr>
          <w:rFonts w:eastAsia="方正仿宋_GBK"/>
          <w:sz w:val="32"/>
          <w:szCs w:val="32"/>
        </w:rPr>
      </w:pPr>
      <w:r>
        <w:rPr>
          <w:rFonts w:eastAsia="方正仿宋_GBK"/>
          <w:sz w:val="32"/>
          <w:szCs w:val="32"/>
        </w:rPr>
        <w:t>表11、重庆市开州区</w:t>
      </w:r>
      <w:r>
        <w:rPr>
          <w:rFonts w:hint="eastAsia" w:eastAsia="方正仿宋_GBK"/>
          <w:sz w:val="32"/>
          <w:szCs w:val="32"/>
        </w:rPr>
        <w:t>国土绿化服务中心</w:t>
      </w:r>
      <w:r>
        <w:rPr>
          <w:rFonts w:eastAsia="方正仿宋_GBK"/>
          <w:sz w:val="32"/>
          <w:szCs w:val="32"/>
        </w:rPr>
        <w:t>项目绩效目标表</w:t>
      </w:r>
    </w:p>
    <w:p/>
    <w:p/>
    <w:p/>
    <w:p>
      <w:pPr>
        <w:spacing w:line="600" w:lineRule="exact"/>
        <w:jc w:val="center"/>
        <w:rPr>
          <w:rFonts w:eastAsia="方正小标宋_GBK"/>
          <w:sz w:val="44"/>
          <w:szCs w:val="44"/>
        </w:rPr>
      </w:pPr>
      <w:r>
        <w:rPr>
          <w:rFonts w:eastAsia="方正小标宋_GBK"/>
          <w:sz w:val="44"/>
          <w:szCs w:val="44"/>
        </w:rPr>
        <w:br w:type="page"/>
      </w:r>
      <w:r>
        <w:rPr>
          <w:rFonts w:hint="eastAsia" w:eastAsia="方正小标宋_GBK"/>
          <w:sz w:val="44"/>
          <w:szCs w:val="44"/>
        </w:rPr>
        <w:t>第一部分：2024年部门预算情况说明</w:t>
      </w:r>
    </w:p>
    <w:p>
      <w:pPr>
        <w:spacing w:line="600" w:lineRule="exact"/>
        <w:ind w:firstLine="880" w:firstLineChars="200"/>
        <w:rPr>
          <w:rFonts w:eastAsia="华文中宋"/>
          <w:sz w:val="44"/>
          <w:szCs w:val="44"/>
        </w:rPr>
      </w:pPr>
    </w:p>
    <w:p>
      <w:pPr>
        <w:spacing w:line="600" w:lineRule="exact"/>
        <w:ind w:left="640"/>
        <w:rPr>
          <w:rFonts w:eastAsia="方正黑体_GBK"/>
          <w:sz w:val="32"/>
        </w:rPr>
      </w:pPr>
      <w:r>
        <w:rPr>
          <w:rFonts w:eastAsia="方正黑体_GBK"/>
          <w:sz w:val="32"/>
        </w:rPr>
        <w:t>一、单位基本情况</w:t>
      </w:r>
    </w:p>
    <w:p>
      <w:pPr>
        <w:spacing w:line="600" w:lineRule="exact"/>
        <w:ind w:firstLine="640" w:firstLineChars="200"/>
        <w:rPr>
          <w:rFonts w:ascii="方正楷体_GBK" w:eastAsia="方正楷体_GBK"/>
          <w:sz w:val="32"/>
        </w:rPr>
      </w:pPr>
      <w:r>
        <w:rPr>
          <w:rFonts w:hint="eastAsia" w:ascii="方正楷体_GBK" w:eastAsia="方正楷体_GBK"/>
          <w:sz w:val="32"/>
        </w:rPr>
        <w:t>（一）职能职责</w:t>
      </w:r>
    </w:p>
    <w:p>
      <w:pPr>
        <w:numPr>
          <w:ilvl w:val="0"/>
          <w:numId w:val="1"/>
        </w:numPr>
        <w:spacing w:line="560" w:lineRule="exact"/>
        <w:ind w:firstLine="640" w:firstLineChars="200"/>
        <w:rPr>
          <w:rFonts w:eastAsia="方正仿宋_GBK"/>
          <w:sz w:val="32"/>
          <w:szCs w:val="32"/>
        </w:rPr>
      </w:pPr>
      <w:r>
        <w:rPr>
          <w:rFonts w:eastAsia="方正仿宋_GBK"/>
          <w:sz w:val="32"/>
          <w:szCs w:val="32"/>
        </w:rPr>
        <w:t>承担国土绿化管理，组织实施全区造林绿化工作。</w:t>
      </w:r>
    </w:p>
    <w:p>
      <w:pPr>
        <w:numPr>
          <w:ilvl w:val="0"/>
          <w:numId w:val="1"/>
        </w:numPr>
        <w:spacing w:line="560" w:lineRule="exact"/>
        <w:ind w:firstLine="640" w:firstLineChars="200"/>
        <w:rPr>
          <w:rFonts w:eastAsia="方正仿宋_GBK"/>
          <w:sz w:val="32"/>
          <w:szCs w:val="32"/>
        </w:rPr>
      </w:pPr>
      <w:r>
        <w:rPr>
          <w:rFonts w:eastAsia="方正仿宋_GBK"/>
          <w:sz w:val="32"/>
          <w:szCs w:val="32"/>
        </w:rPr>
        <w:t>负责森林质量提升相关工作的指导及技术服务。</w:t>
      </w:r>
    </w:p>
    <w:p>
      <w:pPr>
        <w:numPr>
          <w:ilvl w:val="0"/>
          <w:numId w:val="1"/>
        </w:numPr>
        <w:spacing w:line="560" w:lineRule="exact"/>
        <w:ind w:firstLine="640" w:firstLineChars="200"/>
        <w:rPr>
          <w:rFonts w:eastAsia="方正仿宋_GBK"/>
          <w:sz w:val="32"/>
          <w:szCs w:val="32"/>
        </w:rPr>
      </w:pPr>
      <w:r>
        <w:rPr>
          <w:rFonts w:eastAsia="方正仿宋_GBK"/>
          <w:sz w:val="32"/>
          <w:szCs w:val="32"/>
        </w:rPr>
        <w:t>开展林木种苗调剂、储备，种质资源保护及林木良种选育、引种、繁殖工作。</w:t>
      </w:r>
    </w:p>
    <w:p>
      <w:pPr>
        <w:numPr>
          <w:ilvl w:val="0"/>
          <w:numId w:val="1"/>
        </w:numPr>
        <w:spacing w:line="560" w:lineRule="exact"/>
        <w:ind w:firstLine="640" w:firstLineChars="200"/>
        <w:rPr>
          <w:rFonts w:eastAsia="方正仿宋_GBK"/>
          <w:sz w:val="32"/>
          <w:szCs w:val="32"/>
        </w:rPr>
      </w:pPr>
      <w:r>
        <w:rPr>
          <w:rFonts w:eastAsia="方正仿宋_GBK"/>
          <w:sz w:val="32"/>
          <w:szCs w:val="32"/>
        </w:rPr>
        <w:t xml:space="preserve">承担对林木种苗生产经营企业经营范围监管的事务性工作。 </w:t>
      </w:r>
    </w:p>
    <w:p>
      <w:pPr>
        <w:numPr>
          <w:ilvl w:val="0"/>
          <w:numId w:val="1"/>
        </w:numPr>
        <w:spacing w:line="560" w:lineRule="exact"/>
        <w:ind w:firstLine="640" w:firstLineChars="200"/>
        <w:rPr>
          <w:rFonts w:eastAsia="方正仿宋_GBK"/>
          <w:sz w:val="32"/>
          <w:szCs w:val="32"/>
        </w:rPr>
      </w:pPr>
      <w:r>
        <w:rPr>
          <w:rFonts w:eastAsia="方正仿宋_GBK"/>
          <w:sz w:val="32"/>
          <w:szCs w:val="32"/>
        </w:rPr>
        <w:t>负责林木种苗质量的检验。</w:t>
      </w:r>
    </w:p>
    <w:p>
      <w:pPr>
        <w:numPr>
          <w:ilvl w:val="0"/>
          <w:numId w:val="1"/>
        </w:numPr>
        <w:spacing w:line="560" w:lineRule="exact"/>
        <w:ind w:firstLine="640" w:firstLineChars="200"/>
        <w:rPr>
          <w:rFonts w:eastAsia="方正仿宋_GBK"/>
          <w:sz w:val="32"/>
          <w:szCs w:val="32"/>
        </w:rPr>
      </w:pPr>
      <w:r>
        <w:rPr>
          <w:rFonts w:eastAsia="方正仿宋_GBK"/>
          <w:sz w:val="32"/>
          <w:szCs w:val="32"/>
        </w:rPr>
        <w:t>指导退耕还林工程的实施,承担退耕还林信息和统计工作，督促相关政策落实兑现。</w:t>
      </w:r>
    </w:p>
    <w:p>
      <w:pPr>
        <w:numPr>
          <w:ilvl w:val="0"/>
          <w:numId w:val="1"/>
        </w:numPr>
        <w:spacing w:line="560" w:lineRule="exact"/>
        <w:ind w:firstLine="640" w:firstLineChars="200"/>
        <w:rPr>
          <w:rFonts w:eastAsia="方正仿宋_GBK"/>
          <w:sz w:val="32"/>
          <w:szCs w:val="32"/>
        </w:rPr>
      </w:pPr>
      <w:r>
        <w:rPr>
          <w:rFonts w:eastAsia="方正仿宋_GBK"/>
          <w:sz w:val="32"/>
          <w:szCs w:val="32"/>
        </w:rPr>
        <w:t>组织实施上级确定的关键技术的引进、试验、示范和推广。</w:t>
      </w:r>
    </w:p>
    <w:p>
      <w:pPr>
        <w:pStyle w:val="6"/>
        <w:tabs>
          <w:tab w:val="center" w:pos="4153"/>
          <w:tab w:val="left" w:pos="7275"/>
        </w:tabs>
        <w:spacing w:line="600" w:lineRule="exact"/>
        <w:ind w:left="640" w:firstLine="0" w:firstLineChars="0"/>
        <w:jc w:val="left"/>
        <w:rPr>
          <w:rFonts w:ascii="方正仿宋_GBK" w:hAnsi="方正仿宋_GBK" w:eastAsia="方正仿宋_GBK" w:cs="方正仿宋_GBK"/>
          <w:sz w:val="32"/>
          <w:szCs w:val="32"/>
        </w:rPr>
      </w:pPr>
      <w:r>
        <w:rPr>
          <w:rFonts w:hint="eastAsia" w:ascii="方正楷体_GBK" w:hAnsi="Times New Roman" w:eastAsia="方正楷体_GBK"/>
          <w:sz w:val="32"/>
        </w:rPr>
        <w:t>（二）单位构成</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仿宋_GB2312" w:eastAsia="方正仿宋_GBK" w:cs="仿宋_GB2312"/>
          <w:sz w:val="32"/>
        </w:rPr>
        <w:t>重庆市开州区国土绿化服务中心内设4个办公室，分别是办公室、退耕办、国土绿化科、科技推广科。</w:t>
      </w:r>
    </w:p>
    <w:p>
      <w:pPr>
        <w:spacing w:line="600" w:lineRule="exact"/>
        <w:ind w:left="640"/>
        <w:rPr>
          <w:rFonts w:eastAsia="方正仿宋_GBK"/>
          <w:sz w:val="32"/>
        </w:rPr>
      </w:pPr>
      <w:r>
        <w:rPr>
          <w:rFonts w:eastAsia="方正黑体_GBK"/>
          <w:sz w:val="32"/>
        </w:rPr>
        <w:t>二、部门收支总体情况</w:t>
      </w:r>
    </w:p>
    <w:p>
      <w:pPr>
        <w:spacing w:line="600" w:lineRule="exact"/>
        <w:ind w:firstLine="640" w:firstLineChars="200"/>
        <w:rPr>
          <w:rFonts w:eastAsia="方正仿宋_GBK"/>
          <w:sz w:val="32"/>
        </w:rPr>
      </w:pPr>
      <w:r>
        <w:rPr>
          <w:rFonts w:hint="eastAsia" w:ascii="方正楷体_GBK" w:eastAsia="方正楷体_GBK"/>
          <w:sz w:val="32"/>
        </w:rPr>
        <w:t>（一）收入预算：</w:t>
      </w:r>
      <w:r>
        <w:rPr>
          <w:rFonts w:eastAsia="方正仿宋_GBK"/>
          <w:sz w:val="32"/>
        </w:rPr>
        <w:t>2024年年初预算数</w:t>
      </w:r>
      <w:r>
        <w:rPr>
          <w:rFonts w:hint="eastAsia" w:eastAsia="方正仿宋_GBK"/>
          <w:sz w:val="32"/>
        </w:rPr>
        <w:t>263.01</w:t>
      </w:r>
      <w:r>
        <w:rPr>
          <w:rFonts w:eastAsia="方正仿宋_GBK"/>
          <w:sz w:val="32"/>
        </w:rPr>
        <w:t>万元，其中：一般公共预算拨款</w:t>
      </w:r>
      <w:r>
        <w:rPr>
          <w:rFonts w:hint="eastAsia" w:eastAsia="方正仿宋_GBK"/>
          <w:sz w:val="32"/>
        </w:rPr>
        <w:t>263.01</w:t>
      </w:r>
      <w:r>
        <w:rPr>
          <w:rFonts w:eastAsia="方正仿宋_GBK"/>
          <w:sz w:val="32"/>
        </w:rPr>
        <w:t>万元，政府性基金预算拨款</w:t>
      </w:r>
      <w:r>
        <w:rPr>
          <w:rFonts w:hint="eastAsia" w:eastAsia="方正仿宋_GBK"/>
          <w:sz w:val="32"/>
        </w:rPr>
        <w:t>0</w:t>
      </w:r>
      <w:r>
        <w:rPr>
          <w:rFonts w:eastAsia="方正仿宋_GBK"/>
          <w:sz w:val="32"/>
        </w:rPr>
        <w:t>万元，国有资本经营预算收入</w:t>
      </w:r>
      <w:r>
        <w:rPr>
          <w:rFonts w:hint="eastAsia" w:eastAsia="方正仿宋_GBK"/>
          <w:sz w:val="32"/>
        </w:rPr>
        <w:t>0</w:t>
      </w:r>
      <w:r>
        <w:rPr>
          <w:rFonts w:eastAsia="方正仿宋_GBK"/>
          <w:sz w:val="32"/>
        </w:rPr>
        <w:t>万元，事业收入</w:t>
      </w:r>
      <w:r>
        <w:rPr>
          <w:rFonts w:hint="eastAsia" w:eastAsia="方正仿宋_GBK"/>
          <w:sz w:val="32"/>
        </w:rPr>
        <w:t>0</w:t>
      </w:r>
      <w:r>
        <w:rPr>
          <w:rFonts w:eastAsia="方正仿宋_GBK"/>
          <w:sz w:val="32"/>
        </w:rPr>
        <w:t>万元，事业单位经营收入</w:t>
      </w:r>
      <w:r>
        <w:rPr>
          <w:rFonts w:hint="eastAsia" w:eastAsia="方正仿宋_GBK"/>
          <w:sz w:val="32"/>
        </w:rPr>
        <w:t>0</w:t>
      </w:r>
      <w:r>
        <w:rPr>
          <w:rFonts w:eastAsia="方正仿宋_GBK"/>
          <w:sz w:val="32"/>
        </w:rPr>
        <w:t>万元，其他收入</w:t>
      </w:r>
      <w:r>
        <w:rPr>
          <w:rFonts w:hint="eastAsia" w:eastAsia="方正仿宋_GBK"/>
          <w:sz w:val="32"/>
        </w:rPr>
        <w:t>0</w:t>
      </w:r>
      <w:r>
        <w:rPr>
          <w:rFonts w:eastAsia="方正仿宋_GBK"/>
          <w:sz w:val="32"/>
        </w:rPr>
        <w:t>万元。收入较2023年</w:t>
      </w:r>
      <w:r>
        <w:rPr>
          <w:rFonts w:hint="eastAsia" w:eastAsia="方正仿宋_GBK"/>
          <w:sz w:val="32"/>
        </w:rPr>
        <w:t>增加263.01</w:t>
      </w:r>
      <w:r>
        <w:rPr>
          <w:rFonts w:eastAsia="方正仿宋_GBK"/>
          <w:sz w:val="32"/>
        </w:rPr>
        <w:t>万元，主要是</w:t>
      </w:r>
      <w:r>
        <w:rPr>
          <w:rFonts w:hint="eastAsia" w:ascii="方正仿宋_GBK" w:hAnsi="仿宋_GB2312" w:eastAsia="方正仿宋_GBK" w:cs="仿宋_GB2312"/>
          <w:sz w:val="32"/>
        </w:rPr>
        <w:t>一般公共预算拨款增加</w:t>
      </w:r>
      <w:r>
        <w:rPr>
          <w:rFonts w:hint="eastAsia" w:eastAsia="方正仿宋_GBK"/>
          <w:sz w:val="32"/>
        </w:rPr>
        <w:t>76.57</w:t>
      </w:r>
      <w:r>
        <w:rPr>
          <w:rFonts w:eastAsia="方正仿宋_GBK"/>
          <w:sz w:val="32"/>
        </w:rPr>
        <w:t>万元</w:t>
      </w:r>
      <w:r>
        <w:rPr>
          <w:rFonts w:hint="eastAsia" w:ascii="方正仿宋_GBK" w:hAnsi="仿宋_GB2312" w:eastAsia="方正仿宋_GBK" w:cs="仿宋_GB2312"/>
          <w:sz w:val="32"/>
        </w:rPr>
        <w:t>。</w:t>
      </w:r>
    </w:p>
    <w:p>
      <w:pPr>
        <w:spacing w:line="600" w:lineRule="exact"/>
        <w:ind w:firstLine="640" w:firstLineChars="200"/>
        <w:rPr>
          <w:rFonts w:eastAsia="方正仿宋_GBK"/>
          <w:sz w:val="32"/>
        </w:rPr>
      </w:pPr>
      <w:r>
        <w:rPr>
          <w:rFonts w:hint="eastAsia" w:ascii="方正楷体_GBK" w:eastAsia="方正楷体_GBK"/>
          <w:sz w:val="32"/>
        </w:rPr>
        <w:t>（二）支出预算：</w:t>
      </w:r>
      <w:r>
        <w:rPr>
          <w:rFonts w:eastAsia="方正仿宋_GBK"/>
          <w:sz w:val="32"/>
        </w:rPr>
        <w:t>2024年年初预算数</w:t>
      </w:r>
      <w:r>
        <w:rPr>
          <w:rFonts w:hint="eastAsia" w:eastAsia="方正仿宋_GBK"/>
          <w:sz w:val="32"/>
        </w:rPr>
        <w:t>263.01</w:t>
      </w:r>
      <w:r>
        <w:rPr>
          <w:rFonts w:eastAsia="方正仿宋_GBK"/>
          <w:sz w:val="32"/>
        </w:rPr>
        <w:t>万元，其中：一般公共服务支出预算</w:t>
      </w:r>
      <w:r>
        <w:rPr>
          <w:rFonts w:hint="eastAsia" w:eastAsia="方正仿宋_GBK"/>
          <w:sz w:val="32"/>
        </w:rPr>
        <w:t>0</w:t>
      </w:r>
      <w:r>
        <w:rPr>
          <w:rFonts w:eastAsia="方正仿宋_GBK"/>
          <w:sz w:val="32"/>
        </w:rPr>
        <w:t>万元，教育支出预算</w:t>
      </w:r>
      <w:r>
        <w:rPr>
          <w:rFonts w:hint="eastAsia" w:eastAsia="方正仿宋_GBK"/>
          <w:sz w:val="32"/>
        </w:rPr>
        <w:t>0</w:t>
      </w:r>
      <w:r>
        <w:rPr>
          <w:rFonts w:eastAsia="方正仿宋_GBK"/>
          <w:sz w:val="32"/>
        </w:rPr>
        <w:t>万元，社会保障和就业支出预算</w:t>
      </w:r>
      <w:r>
        <w:rPr>
          <w:rFonts w:hint="eastAsia" w:eastAsia="方正仿宋_GBK"/>
          <w:sz w:val="32"/>
        </w:rPr>
        <w:t>58.55</w:t>
      </w:r>
      <w:r>
        <w:rPr>
          <w:rFonts w:eastAsia="方正仿宋_GBK"/>
          <w:sz w:val="32"/>
        </w:rPr>
        <w:t>万元，卫生健康支出预算</w:t>
      </w:r>
      <w:r>
        <w:rPr>
          <w:rFonts w:hint="eastAsia" w:eastAsia="方正仿宋_GBK"/>
          <w:sz w:val="32"/>
        </w:rPr>
        <w:t>14.58</w:t>
      </w:r>
      <w:r>
        <w:rPr>
          <w:rFonts w:eastAsia="方正仿宋_GBK"/>
          <w:sz w:val="32"/>
        </w:rPr>
        <w:t>万元，</w:t>
      </w:r>
      <w:r>
        <w:rPr>
          <w:rFonts w:hint="eastAsia" w:ascii="方正仿宋_GBK" w:hAnsi="仿宋_GB2312" w:eastAsia="方正仿宋_GBK" w:cs="仿宋_GB2312"/>
          <w:sz w:val="32"/>
        </w:rPr>
        <w:t>农林水支出预算177.86万元，</w:t>
      </w:r>
      <w:r>
        <w:rPr>
          <w:rFonts w:eastAsia="方正仿宋_GBK"/>
          <w:sz w:val="32"/>
        </w:rPr>
        <w:t>住房保障支出预算</w:t>
      </w:r>
      <w:r>
        <w:rPr>
          <w:rFonts w:hint="eastAsia" w:eastAsia="方正仿宋_GBK"/>
          <w:sz w:val="32"/>
        </w:rPr>
        <w:t>12.02</w:t>
      </w:r>
      <w:r>
        <w:rPr>
          <w:rFonts w:eastAsia="方正仿宋_GBK"/>
          <w:sz w:val="32"/>
        </w:rPr>
        <w:t>万元</w:t>
      </w:r>
      <w:r>
        <w:rPr>
          <w:rFonts w:hint="eastAsia" w:ascii="方正仿宋_GBK" w:hAnsi="仿宋_GB2312" w:eastAsia="方正仿宋_GBK" w:cs="仿宋_GB2312"/>
          <w:sz w:val="32"/>
        </w:rPr>
        <w:t>。</w:t>
      </w:r>
      <w:r>
        <w:rPr>
          <w:rFonts w:eastAsia="方正仿宋_GBK"/>
          <w:sz w:val="32"/>
        </w:rPr>
        <w:t>支出预算较</w:t>
      </w:r>
      <w:r>
        <w:rPr>
          <w:rFonts w:hint="eastAsia" w:eastAsia="方正仿宋_GBK"/>
          <w:sz w:val="32"/>
        </w:rPr>
        <w:t>202</w:t>
      </w:r>
      <w:r>
        <w:rPr>
          <w:rFonts w:eastAsia="方正仿宋_GBK"/>
          <w:sz w:val="32"/>
        </w:rPr>
        <w:t>3年</w:t>
      </w:r>
      <w:r>
        <w:rPr>
          <w:rFonts w:hint="eastAsia" w:eastAsia="方正仿宋_GBK"/>
          <w:sz w:val="32"/>
        </w:rPr>
        <w:t>增加263.01</w:t>
      </w:r>
      <w:r>
        <w:rPr>
          <w:rFonts w:eastAsia="方正仿宋_GBK"/>
          <w:sz w:val="32"/>
        </w:rPr>
        <w:t>万元，主要是基本支出预算增加</w:t>
      </w:r>
      <w:r>
        <w:rPr>
          <w:rFonts w:hint="eastAsia" w:eastAsia="方正仿宋_GBK"/>
          <w:sz w:val="32"/>
        </w:rPr>
        <w:t>263.01</w:t>
      </w:r>
      <w:r>
        <w:rPr>
          <w:rFonts w:eastAsia="方正仿宋_GBK"/>
          <w:sz w:val="32"/>
        </w:rPr>
        <w:t>万元。</w:t>
      </w:r>
    </w:p>
    <w:p>
      <w:pPr>
        <w:spacing w:line="600" w:lineRule="exact"/>
        <w:ind w:left="640"/>
        <w:rPr>
          <w:rFonts w:eastAsia="方正黑体_GBK"/>
          <w:sz w:val="32"/>
        </w:rPr>
      </w:pPr>
      <w:r>
        <w:rPr>
          <w:rFonts w:eastAsia="方正黑体_GBK"/>
          <w:sz w:val="32"/>
        </w:rPr>
        <w:t>三、部门预算情况说明</w:t>
      </w:r>
    </w:p>
    <w:p>
      <w:pPr>
        <w:spacing w:line="600" w:lineRule="exact"/>
        <w:ind w:firstLine="640" w:firstLineChars="200"/>
        <w:rPr>
          <w:rFonts w:ascii="方正仿宋_GBK" w:hAnsi="仿宋_GB2312" w:eastAsia="方正仿宋_GBK" w:cs="仿宋_GB2312"/>
          <w:sz w:val="32"/>
        </w:rPr>
      </w:pPr>
      <w:r>
        <w:rPr>
          <w:rFonts w:eastAsia="方正仿宋_GBK"/>
          <w:sz w:val="32"/>
        </w:rPr>
        <w:t>2024年一般公共预算财政拨款收入</w:t>
      </w:r>
      <w:r>
        <w:rPr>
          <w:rFonts w:hint="eastAsia" w:eastAsia="方正仿宋_GBK"/>
          <w:sz w:val="32"/>
        </w:rPr>
        <w:t>263.01</w:t>
      </w:r>
      <w:r>
        <w:rPr>
          <w:rFonts w:eastAsia="方正仿宋_GBK"/>
          <w:sz w:val="32"/>
        </w:rPr>
        <w:t>万元，一般公共预算财政拨款支出</w:t>
      </w:r>
      <w:r>
        <w:rPr>
          <w:rFonts w:hint="eastAsia" w:eastAsia="方正仿宋_GBK"/>
          <w:sz w:val="32"/>
        </w:rPr>
        <w:t>263.01</w:t>
      </w:r>
      <w:r>
        <w:rPr>
          <w:rFonts w:eastAsia="方正仿宋_GBK"/>
          <w:sz w:val="32"/>
        </w:rPr>
        <w:t>万元，比2023年</w:t>
      </w:r>
      <w:r>
        <w:rPr>
          <w:rFonts w:hint="eastAsia" w:eastAsia="方正仿宋_GBK"/>
          <w:sz w:val="32"/>
        </w:rPr>
        <w:t>增加263.017</w:t>
      </w:r>
      <w:r>
        <w:rPr>
          <w:rFonts w:eastAsia="方正仿宋_GBK"/>
          <w:sz w:val="32"/>
        </w:rPr>
        <w:t>万元。其中：基本支出</w:t>
      </w:r>
      <w:r>
        <w:rPr>
          <w:rFonts w:hint="eastAsia" w:eastAsia="方正仿宋_GBK"/>
          <w:sz w:val="32"/>
        </w:rPr>
        <w:t>263.01</w:t>
      </w:r>
      <w:r>
        <w:rPr>
          <w:rFonts w:eastAsia="方正仿宋_GBK"/>
          <w:sz w:val="32"/>
        </w:rPr>
        <w:t>万元，比2023年增加</w:t>
      </w:r>
      <w:r>
        <w:rPr>
          <w:rFonts w:hint="eastAsia" w:eastAsia="方正仿宋_GBK"/>
          <w:sz w:val="32"/>
        </w:rPr>
        <w:t>263.01</w:t>
      </w:r>
      <w:r>
        <w:rPr>
          <w:rFonts w:eastAsia="方正仿宋_GBK"/>
          <w:sz w:val="32"/>
        </w:rPr>
        <w:t>万元，主要原因是</w:t>
      </w:r>
      <w:r>
        <w:rPr>
          <w:rFonts w:hint="eastAsia" w:ascii="方正仿宋_GBK" w:hAnsi="仿宋_GB2312" w:eastAsia="方正仿宋_GBK" w:cs="仿宋_GB2312"/>
          <w:sz w:val="32"/>
        </w:rPr>
        <w:t>二级预算单位独立核算，因此新增的预算单位；</w:t>
      </w:r>
      <w:r>
        <w:rPr>
          <w:rFonts w:eastAsia="方正仿宋_GBK"/>
          <w:sz w:val="32"/>
        </w:rPr>
        <w:t>项目支出</w:t>
      </w:r>
      <w:r>
        <w:rPr>
          <w:rFonts w:hint="eastAsia" w:eastAsia="方正仿宋_GBK"/>
          <w:sz w:val="32"/>
        </w:rPr>
        <w:t>0</w:t>
      </w:r>
      <w:r>
        <w:rPr>
          <w:rFonts w:eastAsia="方正仿宋_GBK"/>
          <w:sz w:val="32"/>
        </w:rPr>
        <w:t>万元，比2023年增加（或减少）</w:t>
      </w:r>
      <w:r>
        <w:rPr>
          <w:rFonts w:hint="eastAsia" w:eastAsia="方正仿宋_GBK"/>
          <w:sz w:val="32"/>
        </w:rPr>
        <w:t>0</w:t>
      </w:r>
      <w:r>
        <w:rPr>
          <w:rFonts w:eastAsia="方正仿宋_GBK"/>
          <w:sz w:val="32"/>
        </w:rPr>
        <w:t>万元，主要原因是单位</w:t>
      </w:r>
      <w:r>
        <w:rPr>
          <w:rFonts w:hint="eastAsia" w:ascii="方正仿宋_GBK" w:hAnsi="仿宋_GB2312" w:eastAsia="方正仿宋_GBK" w:cs="仿宋_GB2312"/>
          <w:sz w:val="32"/>
        </w:rPr>
        <w:t>无项目。</w:t>
      </w:r>
    </w:p>
    <w:p>
      <w:pPr>
        <w:spacing w:line="600" w:lineRule="exact"/>
        <w:jc w:val="left"/>
        <w:rPr>
          <w:rFonts w:eastAsia="方正仿宋_GBK"/>
          <w:sz w:val="32"/>
        </w:rPr>
      </w:pPr>
      <w:r>
        <w:rPr>
          <w:rFonts w:hint="eastAsia" w:eastAsia="方正仿宋_GBK"/>
          <w:sz w:val="32"/>
        </w:rPr>
        <w:t xml:space="preserve">    重庆市开州区国土绿化服务中心</w:t>
      </w:r>
      <w:r>
        <w:rPr>
          <w:rFonts w:eastAsia="方正仿宋_GBK"/>
          <w:sz w:val="32"/>
        </w:rPr>
        <w:t>2024年无使用政府性基金预算拨款安排的支出。</w:t>
      </w:r>
    </w:p>
    <w:p>
      <w:pPr>
        <w:spacing w:line="600" w:lineRule="exact"/>
        <w:ind w:firstLine="640" w:firstLineChars="200"/>
        <w:rPr>
          <w:rFonts w:eastAsia="方正仿宋_GBK"/>
          <w:sz w:val="32"/>
        </w:rPr>
      </w:pPr>
      <w:r>
        <w:rPr>
          <w:rFonts w:eastAsia="方正仿宋_GBK"/>
          <w:sz w:val="32"/>
        </w:rPr>
        <w:t xml:space="preserve"> </w:t>
      </w:r>
      <w:r>
        <w:rPr>
          <w:rFonts w:eastAsia="方正黑体_GBK"/>
          <w:sz w:val="32"/>
        </w:rPr>
        <w:t>四、</w:t>
      </w:r>
      <w:r>
        <w:rPr>
          <w:rFonts w:hint="eastAsia" w:ascii="方正黑体_GBK" w:eastAsia="方正黑体_GBK"/>
          <w:sz w:val="32"/>
        </w:rPr>
        <w:t>“三公”经</w:t>
      </w:r>
      <w:r>
        <w:rPr>
          <w:rFonts w:eastAsia="方正黑体_GBK"/>
          <w:sz w:val="32"/>
        </w:rPr>
        <w:t>费情况说明</w:t>
      </w:r>
    </w:p>
    <w:p>
      <w:pPr>
        <w:spacing w:line="600" w:lineRule="exact"/>
        <w:ind w:firstLine="600"/>
        <w:rPr>
          <w:rFonts w:eastAsia="方正仿宋_GBK"/>
          <w:sz w:val="32"/>
        </w:rPr>
      </w:pPr>
      <w:r>
        <w:rPr>
          <w:rFonts w:eastAsia="方正仿宋_GBK"/>
          <w:sz w:val="32"/>
        </w:rPr>
        <w:t>2024年</w:t>
      </w:r>
      <w:r>
        <w:rPr>
          <w:rFonts w:hint="eastAsia" w:ascii="方正仿宋_GBK" w:eastAsia="方正仿宋_GBK"/>
          <w:sz w:val="32"/>
        </w:rPr>
        <w:t>“三公”经</w:t>
      </w:r>
      <w:r>
        <w:rPr>
          <w:rFonts w:eastAsia="方正仿宋_GBK"/>
          <w:sz w:val="32"/>
        </w:rPr>
        <w:t>费预算</w:t>
      </w:r>
      <w:r>
        <w:rPr>
          <w:rFonts w:hint="eastAsia" w:eastAsia="方正仿宋_GBK"/>
          <w:sz w:val="32"/>
        </w:rPr>
        <w:t>0.40</w:t>
      </w:r>
      <w:r>
        <w:rPr>
          <w:rFonts w:eastAsia="方正仿宋_GBK"/>
          <w:sz w:val="32"/>
        </w:rPr>
        <w:t>万元，比2023年</w:t>
      </w:r>
      <w:r>
        <w:rPr>
          <w:rFonts w:hint="eastAsia" w:eastAsia="方正仿宋_GBK"/>
          <w:sz w:val="32"/>
        </w:rPr>
        <w:t>增加0.40</w:t>
      </w:r>
      <w:r>
        <w:rPr>
          <w:rFonts w:eastAsia="方正仿宋_GBK"/>
          <w:sz w:val="32"/>
        </w:rPr>
        <w:t>万元。其中：因公出国（境）费用</w:t>
      </w:r>
      <w:r>
        <w:rPr>
          <w:rFonts w:hint="eastAsia" w:eastAsia="方正仿宋_GBK"/>
          <w:sz w:val="32"/>
        </w:rPr>
        <w:t>0</w:t>
      </w:r>
      <w:r>
        <w:rPr>
          <w:rFonts w:eastAsia="方正仿宋_GBK"/>
          <w:sz w:val="32"/>
        </w:rPr>
        <w:t>万元，比2023年减少</w:t>
      </w:r>
      <w:r>
        <w:rPr>
          <w:rFonts w:hint="eastAsia" w:eastAsia="方正仿宋_GBK"/>
          <w:sz w:val="32"/>
        </w:rPr>
        <w:t>（</w:t>
      </w:r>
      <w:r>
        <w:rPr>
          <w:rFonts w:eastAsia="方正仿宋_GBK"/>
          <w:sz w:val="32"/>
        </w:rPr>
        <w:t>或增加</w:t>
      </w:r>
      <w:r>
        <w:rPr>
          <w:rFonts w:hint="eastAsia" w:eastAsia="方正仿宋_GBK"/>
          <w:sz w:val="32"/>
        </w:rPr>
        <w:t>）0</w:t>
      </w:r>
      <w:r>
        <w:rPr>
          <w:rFonts w:eastAsia="方正仿宋_GBK"/>
          <w:sz w:val="32"/>
        </w:rPr>
        <w:t>万元，主要原因是</w:t>
      </w:r>
      <w:r>
        <w:rPr>
          <w:rFonts w:hint="eastAsia" w:ascii="方正仿宋_GBK" w:hAnsi="仿宋_GB2312" w:eastAsia="方正仿宋_GBK" w:cs="仿宋_GB2312"/>
          <w:sz w:val="32"/>
        </w:rPr>
        <w:t>无因公出国（境）费用</w:t>
      </w:r>
      <w:r>
        <w:rPr>
          <w:rFonts w:eastAsia="方正仿宋_GBK"/>
          <w:sz w:val="32"/>
        </w:rPr>
        <w:t>；公务接待费</w:t>
      </w:r>
      <w:r>
        <w:rPr>
          <w:rFonts w:hint="eastAsia" w:eastAsia="方正仿宋_GBK"/>
          <w:sz w:val="32"/>
        </w:rPr>
        <w:t>0.40</w:t>
      </w:r>
      <w:r>
        <w:rPr>
          <w:rFonts w:eastAsia="方正仿宋_GBK"/>
          <w:sz w:val="32"/>
        </w:rPr>
        <w:t>万元，比2023年增加</w:t>
      </w:r>
      <w:r>
        <w:rPr>
          <w:rFonts w:hint="eastAsia" w:eastAsia="方正仿宋_GBK"/>
          <w:sz w:val="32"/>
        </w:rPr>
        <w:t>0.40</w:t>
      </w:r>
      <w:r>
        <w:rPr>
          <w:rFonts w:eastAsia="方正仿宋_GBK"/>
          <w:sz w:val="32"/>
        </w:rPr>
        <w:t>万元，主要原因主要原因是</w:t>
      </w:r>
      <w:r>
        <w:rPr>
          <w:rFonts w:hint="eastAsia" w:ascii="方正仿宋_GBK" w:hAnsi="仿宋_GB2312" w:eastAsia="方正仿宋_GBK" w:cs="仿宋_GB2312"/>
          <w:sz w:val="32"/>
        </w:rPr>
        <w:t>二级预算单位独立核算，因此新增的预算单位</w:t>
      </w:r>
      <w:r>
        <w:rPr>
          <w:rFonts w:eastAsia="方正仿宋_GBK"/>
          <w:sz w:val="32"/>
        </w:rPr>
        <w:t>；公务用车运行维护费</w:t>
      </w:r>
      <w:r>
        <w:rPr>
          <w:rFonts w:hint="eastAsia" w:eastAsia="方正仿宋_GBK"/>
          <w:sz w:val="32"/>
        </w:rPr>
        <w:t>0</w:t>
      </w:r>
      <w:r>
        <w:rPr>
          <w:rFonts w:eastAsia="方正仿宋_GBK"/>
          <w:sz w:val="32"/>
        </w:rPr>
        <w:t>万元，比2023年减少</w:t>
      </w:r>
      <w:r>
        <w:rPr>
          <w:rFonts w:hint="eastAsia" w:eastAsia="方正仿宋_GBK"/>
          <w:sz w:val="32"/>
        </w:rPr>
        <w:t>（</w:t>
      </w:r>
      <w:r>
        <w:rPr>
          <w:rFonts w:eastAsia="方正仿宋_GBK"/>
          <w:sz w:val="32"/>
        </w:rPr>
        <w:t>或增加</w:t>
      </w:r>
      <w:r>
        <w:rPr>
          <w:rFonts w:hint="eastAsia" w:eastAsia="方正仿宋_GBK"/>
          <w:sz w:val="32"/>
        </w:rPr>
        <w:t>）0</w:t>
      </w:r>
      <w:r>
        <w:rPr>
          <w:rFonts w:eastAsia="方正仿宋_GBK"/>
          <w:sz w:val="32"/>
        </w:rPr>
        <w:t>万元，主要原因是</w:t>
      </w:r>
      <w:r>
        <w:rPr>
          <w:rFonts w:hint="eastAsia" w:ascii="方正仿宋_GBK" w:hAnsi="仿宋_GB2312" w:eastAsia="方正仿宋_GBK" w:cs="仿宋_GB2312"/>
          <w:sz w:val="32"/>
        </w:rPr>
        <w:t>无公务车</w:t>
      </w:r>
      <w:r>
        <w:rPr>
          <w:rFonts w:eastAsia="方正仿宋_GBK"/>
          <w:sz w:val="32"/>
        </w:rPr>
        <w:t>；公务用车购置费</w:t>
      </w:r>
      <w:r>
        <w:rPr>
          <w:rFonts w:hint="eastAsia" w:eastAsia="方正仿宋_GBK"/>
          <w:sz w:val="32"/>
        </w:rPr>
        <w:t>0</w:t>
      </w:r>
      <w:r>
        <w:rPr>
          <w:rFonts w:eastAsia="方正仿宋_GBK"/>
          <w:sz w:val="32"/>
        </w:rPr>
        <w:t>万元，比2023年减少</w:t>
      </w:r>
      <w:r>
        <w:rPr>
          <w:rFonts w:hint="eastAsia" w:eastAsia="方正仿宋_GBK"/>
          <w:sz w:val="32"/>
        </w:rPr>
        <w:t>（</w:t>
      </w:r>
      <w:r>
        <w:rPr>
          <w:rFonts w:eastAsia="方正仿宋_GBK"/>
          <w:sz w:val="32"/>
        </w:rPr>
        <w:t>或增加</w:t>
      </w:r>
      <w:r>
        <w:rPr>
          <w:rFonts w:hint="eastAsia" w:eastAsia="方正仿宋_GBK"/>
          <w:sz w:val="32"/>
        </w:rPr>
        <w:t>）0</w:t>
      </w:r>
      <w:r>
        <w:rPr>
          <w:rFonts w:eastAsia="方正仿宋_GBK"/>
          <w:sz w:val="32"/>
        </w:rPr>
        <w:t>万元，主要原因是</w:t>
      </w:r>
      <w:r>
        <w:rPr>
          <w:rFonts w:hint="eastAsia" w:ascii="方正仿宋_GBK" w:hAnsi="仿宋_GB2312" w:eastAsia="方正仿宋_GBK" w:cs="仿宋_GB2312"/>
          <w:sz w:val="32"/>
        </w:rPr>
        <w:t>无购置费用</w:t>
      </w:r>
      <w:r>
        <w:rPr>
          <w:rFonts w:eastAsia="方正仿宋_GBK"/>
          <w:sz w:val="32"/>
        </w:rPr>
        <w:t>。</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eastAsia="方正仿宋_GBK"/>
          <w:sz w:val="32"/>
        </w:rPr>
      </w:pPr>
      <w:r>
        <w:rPr>
          <w:rFonts w:eastAsia="方正仿宋_GBK"/>
          <w:sz w:val="32"/>
        </w:rPr>
        <w:t>1、</w:t>
      </w:r>
      <w:r>
        <w:rPr>
          <w:rFonts w:hint="eastAsia" w:ascii="方正仿宋_GBK" w:hAnsi="仿宋_GB2312" w:eastAsia="方正仿宋_GBK" w:cs="仿宋_GB2312"/>
          <w:sz w:val="32"/>
        </w:rPr>
        <w:t>我单位属于事业单位，不在机关运行经费统计范围之内。</w:t>
      </w:r>
    </w:p>
    <w:p>
      <w:pPr>
        <w:ind w:firstLine="640" w:firstLineChars="200"/>
        <w:rPr>
          <w:rFonts w:eastAsia="方正仿宋_GBK"/>
          <w:sz w:val="32"/>
        </w:rPr>
      </w:pPr>
      <w:r>
        <w:rPr>
          <w:rFonts w:eastAsia="方正仿宋_GBK"/>
          <w:b/>
          <w:sz w:val="32"/>
        </w:rPr>
        <w:t>2、政府采购情况。</w:t>
      </w:r>
      <w:r>
        <w:rPr>
          <w:rFonts w:eastAsia="方正仿宋_GBK"/>
          <w:sz w:val="32"/>
        </w:rPr>
        <w:t>所属各预算单位政府采购预算总额</w:t>
      </w:r>
      <w:r>
        <w:rPr>
          <w:rFonts w:hint="eastAsia" w:eastAsia="方正仿宋_GBK"/>
          <w:sz w:val="32"/>
        </w:rPr>
        <w:t>0</w:t>
      </w:r>
      <w:r>
        <w:rPr>
          <w:rFonts w:eastAsia="方正仿宋_GBK"/>
          <w:sz w:val="32"/>
        </w:rPr>
        <w:t>万元：政府采购货物预算</w:t>
      </w:r>
      <w:r>
        <w:rPr>
          <w:rFonts w:hint="eastAsia" w:eastAsia="方正仿宋_GBK"/>
          <w:sz w:val="32"/>
        </w:rPr>
        <w:t>0</w:t>
      </w:r>
      <w:r>
        <w:rPr>
          <w:rFonts w:eastAsia="方正仿宋_GBK"/>
          <w:sz w:val="32"/>
        </w:rPr>
        <w:t>万元、政府采购工程预算</w:t>
      </w:r>
      <w:r>
        <w:rPr>
          <w:rFonts w:hint="eastAsia" w:eastAsia="方正仿宋_GBK"/>
          <w:sz w:val="32"/>
        </w:rPr>
        <w:t>0</w:t>
      </w:r>
      <w:r>
        <w:rPr>
          <w:rFonts w:eastAsia="方正仿宋_GBK"/>
          <w:sz w:val="32"/>
        </w:rPr>
        <w:t>万元、政府采购服务预算</w:t>
      </w:r>
      <w:r>
        <w:rPr>
          <w:rFonts w:hint="eastAsia" w:eastAsia="方正仿宋_GBK"/>
          <w:sz w:val="32"/>
        </w:rPr>
        <w:t>0</w:t>
      </w:r>
      <w:r>
        <w:rPr>
          <w:rFonts w:eastAsia="方正仿宋_GBK"/>
          <w:sz w:val="32"/>
        </w:rPr>
        <w:t>万元；其中一般公共预算拨款政府采购</w:t>
      </w:r>
      <w:r>
        <w:rPr>
          <w:rFonts w:hint="eastAsia" w:eastAsia="方正仿宋_GBK"/>
          <w:sz w:val="32"/>
        </w:rPr>
        <w:t>0</w:t>
      </w:r>
      <w:r>
        <w:rPr>
          <w:rFonts w:eastAsia="方正仿宋_GBK"/>
          <w:sz w:val="32"/>
        </w:rPr>
        <w:t>万元：政府采购货物预算</w:t>
      </w:r>
      <w:r>
        <w:rPr>
          <w:rFonts w:hint="eastAsia" w:eastAsia="方正仿宋_GBK"/>
          <w:sz w:val="32"/>
        </w:rPr>
        <w:t>0</w:t>
      </w:r>
      <w:r>
        <w:rPr>
          <w:rFonts w:eastAsia="方正仿宋_GBK"/>
          <w:sz w:val="32"/>
        </w:rPr>
        <w:t>万元、政府采购工程预算</w:t>
      </w:r>
      <w:r>
        <w:rPr>
          <w:rFonts w:hint="eastAsia" w:eastAsia="方正仿宋_GBK"/>
          <w:sz w:val="32"/>
        </w:rPr>
        <w:t>0</w:t>
      </w:r>
      <w:r>
        <w:rPr>
          <w:rFonts w:eastAsia="方正仿宋_GBK"/>
          <w:sz w:val="32"/>
        </w:rPr>
        <w:t>万元、政府采购服务预算</w:t>
      </w:r>
      <w:r>
        <w:rPr>
          <w:rFonts w:hint="eastAsia" w:eastAsia="方正仿宋_GBK"/>
          <w:sz w:val="32"/>
        </w:rPr>
        <w:t>0</w:t>
      </w:r>
      <w:r>
        <w:rPr>
          <w:rFonts w:eastAsia="方正仿宋_GBK"/>
          <w:sz w:val="32"/>
        </w:rPr>
        <w:t>万元。</w:t>
      </w:r>
    </w:p>
    <w:p>
      <w:pPr>
        <w:ind w:firstLine="640" w:firstLineChars="200"/>
        <w:rPr>
          <w:rFonts w:eastAsia="方正仿宋_GBK"/>
          <w:color w:val="000000"/>
          <w:sz w:val="32"/>
        </w:rPr>
      </w:pPr>
      <w:r>
        <w:rPr>
          <w:rFonts w:eastAsia="方正仿宋_GBK"/>
          <w:b/>
          <w:sz w:val="32"/>
        </w:rPr>
        <w:t>3、绩效目标设置情况。</w:t>
      </w:r>
      <w:r>
        <w:rPr>
          <w:rFonts w:eastAsia="方正仿宋_GBK"/>
          <w:color w:val="000000"/>
          <w:sz w:val="32"/>
        </w:rPr>
        <w:t>2024年项目支出均实行了绩效目标管理，涉及一般公共预算当年财政拨款</w:t>
      </w:r>
      <w:r>
        <w:rPr>
          <w:rFonts w:hint="eastAsia" w:eastAsia="方正仿宋_GBK"/>
          <w:sz w:val="32"/>
        </w:rPr>
        <w:t>0</w:t>
      </w:r>
      <w:r>
        <w:rPr>
          <w:rFonts w:eastAsia="方正仿宋_GBK"/>
          <w:color w:val="000000"/>
          <w:sz w:val="32"/>
        </w:rPr>
        <w:t>万元。</w:t>
      </w:r>
    </w:p>
    <w:p>
      <w:pPr>
        <w:ind w:firstLine="640" w:firstLineChars="200"/>
        <w:rPr>
          <w:rFonts w:eastAsia="方正仿宋_GBK"/>
          <w:color w:val="000000"/>
          <w:sz w:val="32"/>
        </w:rPr>
      </w:pPr>
      <w:r>
        <w:rPr>
          <w:rFonts w:eastAsia="方正仿宋_GBK"/>
          <w:b/>
          <w:color w:val="000000"/>
          <w:sz w:val="32"/>
        </w:rPr>
        <w:t>4、国有资产占有使用情况。</w:t>
      </w:r>
      <w:r>
        <w:rPr>
          <w:rFonts w:hint="eastAsia" w:eastAsia="方正仿宋_GBK"/>
          <w:color w:val="000000"/>
          <w:sz w:val="32"/>
          <w:lang w:val="en-US" w:eastAsia="zh-CN"/>
        </w:rPr>
        <w:t>截至</w:t>
      </w:r>
      <w:bookmarkStart w:id="0" w:name="_GoBack"/>
      <w:bookmarkEnd w:id="0"/>
      <w:r>
        <w:rPr>
          <w:rFonts w:eastAsia="方正仿宋_GBK"/>
          <w:color w:val="000000"/>
          <w:sz w:val="32"/>
        </w:rPr>
        <w:t>2023年12月，单位共有车辆</w:t>
      </w:r>
      <w:r>
        <w:rPr>
          <w:rFonts w:hint="eastAsia" w:eastAsia="方正仿宋_GBK"/>
          <w:sz w:val="32"/>
        </w:rPr>
        <w:t>0</w:t>
      </w:r>
      <w:r>
        <w:rPr>
          <w:rFonts w:eastAsia="方正仿宋_GBK"/>
          <w:color w:val="000000"/>
          <w:sz w:val="32"/>
        </w:rPr>
        <w:t>辆，其中一般公务用车</w:t>
      </w:r>
      <w:r>
        <w:rPr>
          <w:rFonts w:hint="eastAsia" w:eastAsia="方正仿宋_GBK"/>
          <w:sz w:val="32"/>
        </w:rPr>
        <w:t>0</w:t>
      </w:r>
      <w:r>
        <w:rPr>
          <w:rFonts w:eastAsia="方正仿宋_GBK"/>
          <w:color w:val="000000"/>
          <w:sz w:val="32"/>
        </w:rPr>
        <w:t>辆、执勤执法用车</w:t>
      </w:r>
      <w:r>
        <w:rPr>
          <w:rFonts w:hint="eastAsia" w:eastAsia="方正仿宋_GBK"/>
          <w:color w:val="000000"/>
          <w:sz w:val="32"/>
        </w:rPr>
        <w:t>0</w:t>
      </w:r>
      <w:r>
        <w:rPr>
          <w:rFonts w:eastAsia="方正仿宋_GBK"/>
          <w:color w:val="000000"/>
          <w:sz w:val="32"/>
        </w:rPr>
        <w:t>辆。2024年一般公共预算安排购置车辆</w:t>
      </w:r>
      <w:r>
        <w:rPr>
          <w:rFonts w:hint="eastAsia" w:eastAsia="方正仿宋_GBK"/>
          <w:color w:val="000000"/>
          <w:sz w:val="32"/>
        </w:rPr>
        <w:t>0</w:t>
      </w:r>
      <w:r>
        <w:rPr>
          <w:rFonts w:eastAsia="方正仿宋_GBK"/>
          <w:color w:val="000000"/>
          <w:sz w:val="32"/>
        </w:rPr>
        <w:t>辆，其中一般公务用车</w:t>
      </w:r>
      <w:r>
        <w:rPr>
          <w:rFonts w:hint="eastAsia" w:eastAsia="方正仿宋_GBK"/>
          <w:color w:val="000000"/>
          <w:sz w:val="32"/>
        </w:rPr>
        <w:t>0</w:t>
      </w:r>
      <w:r>
        <w:rPr>
          <w:rFonts w:eastAsia="方正仿宋_GBK"/>
          <w:color w:val="000000"/>
          <w:sz w:val="32"/>
        </w:rPr>
        <w:t>辆、执勤执法用车</w:t>
      </w:r>
      <w:r>
        <w:rPr>
          <w:rFonts w:hint="eastAsia" w:eastAsia="方正仿宋_GBK"/>
          <w:color w:val="000000"/>
          <w:sz w:val="32"/>
        </w:rPr>
        <w:t>0</w:t>
      </w:r>
      <w:r>
        <w:rPr>
          <w:rFonts w:eastAsia="方正仿宋_GBK"/>
          <w:color w:val="000000"/>
          <w:sz w:val="32"/>
        </w:rPr>
        <w:t>辆。</w:t>
      </w:r>
    </w:p>
    <w:p>
      <w:pPr>
        <w:ind w:firstLine="640" w:firstLineChars="200"/>
        <w:rPr>
          <w:rFonts w:eastAsia="方正黑体_GBK"/>
          <w:sz w:val="32"/>
        </w:rPr>
      </w:pPr>
      <w:r>
        <w:rPr>
          <w:rFonts w:eastAsia="方正黑体_GBK"/>
          <w:sz w:val="32"/>
        </w:rPr>
        <w:t>六、专业性名词解释</w:t>
      </w:r>
    </w:p>
    <w:p>
      <w:pPr>
        <w:pStyle w:val="6"/>
        <w:tabs>
          <w:tab w:val="center" w:pos="4153"/>
          <w:tab w:val="left" w:pos="7275"/>
        </w:tabs>
        <w:spacing w:line="600" w:lineRule="exact"/>
        <w:ind w:firstLine="641"/>
        <w:jc w:val="left"/>
        <w:rPr>
          <w:rFonts w:ascii="Times New Roman" w:hAnsi="Times New Roman" w:eastAsia="方正仿宋_GBK"/>
          <w:sz w:val="32"/>
          <w:szCs w:val="32"/>
        </w:rPr>
      </w:pPr>
      <w:r>
        <w:rPr>
          <w:rFonts w:hint="eastAsia" w:ascii="方正楷体_GBK" w:hAnsi="Times New Roman" w:eastAsia="方正楷体_GBK"/>
          <w:sz w:val="32"/>
          <w:szCs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6"/>
        <w:tabs>
          <w:tab w:val="center" w:pos="4153"/>
          <w:tab w:val="left" w:pos="7275"/>
        </w:tabs>
        <w:spacing w:line="600" w:lineRule="exact"/>
        <w:ind w:firstLine="641"/>
        <w:jc w:val="left"/>
        <w:rPr>
          <w:rFonts w:ascii="方正仿宋_GBK" w:hAnsi="Times New Roman" w:eastAsia="方正仿宋_GBK"/>
          <w:sz w:val="32"/>
          <w:szCs w:val="32"/>
        </w:rPr>
      </w:pPr>
      <w:r>
        <w:rPr>
          <w:rFonts w:hint="eastAsia" w:ascii="方正楷体_GBK" w:hAnsi="Times New Roman" w:eastAsia="方正楷体_GBK"/>
          <w:sz w:val="32"/>
          <w:szCs w:val="32"/>
        </w:rPr>
        <w:t>（二）其他收入：</w:t>
      </w:r>
      <w:r>
        <w:rPr>
          <w:rFonts w:ascii="Times New Roman" w:hAnsi="Times New Roman" w:eastAsia="方正仿宋_GBK"/>
          <w:sz w:val="32"/>
          <w:szCs w:val="32"/>
        </w:rPr>
        <w:t>指单位取</w:t>
      </w:r>
      <w:r>
        <w:rPr>
          <w:rFonts w:hint="eastAsia" w:ascii="方正仿宋_GBK" w:hAnsi="Times New Roman" w:eastAsia="方正仿宋_GBK"/>
          <w:sz w:val="32"/>
          <w:szCs w:val="32"/>
        </w:rPr>
        <w:t>得的除“财政拨款收入”、“事业收入”、“经营收入”等以外的收入。</w:t>
      </w:r>
    </w:p>
    <w:p>
      <w:pPr>
        <w:pStyle w:val="6"/>
        <w:tabs>
          <w:tab w:val="center" w:pos="4153"/>
          <w:tab w:val="left" w:pos="7275"/>
        </w:tabs>
        <w:spacing w:line="600" w:lineRule="exact"/>
        <w:ind w:firstLine="641"/>
        <w:jc w:val="left"/>
        <w:rPr>
          <w:rFonts w:ascii="Times New Roman" w:hAnsi="Times New Roman" w:eastAsia="方正仿宋_GBK"/>
          <w:sz w:val="32"/>
          <w:szCs w:val="32"/>
        </w:rPr>
      </w:pPr>
      <w:r>
        <w:rPr>
          <w:rFonts w:hint="eastAsia" w:ascii="方正楷体_GBK" w:hAnsi="Times New Roman" w:eastAsia="方正楷体_GBK"/>
          <w:sz w:val="32"/>
          <w:szCs w:val="32"/>
        </w:rPr>
        <w:t>（三）基本支出：</w:t>
      </w:r>
      <w:r>
        <w:rPr>
          <w:rFonts w:ascii="Times New Roman" w:hAnsi="Times New Roman" w:eastAsia="方正仿宋_GBK"/>
          <w:sz w:val="32"/>
          <w:szCs w:val="32"/>
        </w:rPr>
        <w:t>指为保障机构正常运转、完成日常工作任务而发生的人员经费和公用经费。</w:t>
      </w:r>
    </w:p>
    <w:p>
      <w:pPr>
        <w:pStyle w:val="6"/>
        <w:tabs>
          <w:tab w:val="center" w:pos="4153"/>
          <w:tab w:val="left" w:pos="7275"/>
        </w:tabs>
        <w:spacing w:line="600" w:lineRule="exact"/>
        <w:ind w:firstLine="641"/>
        <w:jc w:val="left"/>
        <w:rPr>
          <w:rFonts w:ascii="Times New Roman" w:hAnsi="Times New Roman" w:eastAsia="方正仿宋_GBK"/>
          <w:sz w:val="32"/>
          <w:szCs w:val="32"/>
        </w:rPr>
      </w:pPr>
      <w:r>
        <w:rPr>
          <w:rFonts w:hint="eastAsia" w:ascii="方正楷体_GBK" w:hAnsi="Times New Roman" w:eastAsia="方正楷体_GBK"/>
          <w:sz w:val="32"/>
          <w:szCs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sz w:val="32"/>
          <w:szCs w:val="32"/>
        </w:rPr>
      </w:pPr>
      <w:r>
        <w:rPr>
          <w:rFonts w:hint="eastAsia" w:ascii="方正楷体_GBK" w:eastAsia="方正楷体_GBK"/>
          <w:sz w:val="32"/>
          <w:szCs w:val="32"/>
        </w:rPr>
        <w:t>（五）“三公”经费：</w:t>
      </w:r>
      <w:r>
        <w:rPr>
          <w:rFonts w:hint="eastAsia" w:ascii="方正仿宋_GBK" w:eastAsia="方正仿宋_GBK"/>
          <w:sz w:val="32"/>
          <w:szCs w:val="32"/>
        </w:rPr>
        <w:t>指用一</w:t>
      </w:r>
      <w:r>
        <w:rPr>
          <w:rFonts w:eastAsia="方正仿宋_GBK"/>
          <w:sz w:val="32"/>
          <w:szCs w:val="32"/>
        </w:rPr>
        <w:t>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r>
        <w:rPr>
          <w:rFonts w:hint="eastAsia" w:eastAsia="方正小标宋_GBK"/>
          <w:sz w:val="44"/>
          <w:szCs w:val="44"/>
        </w:rPr>
        <w:t>第二部分：2024年部门预算公开报表</w:t>
      </w:r>
    </w:p>
    <w:p>
      <w:pPr>
        <w:ind w:firstLine="640" w:firstLineChars="200"/>
        <w:jc w:val="center"/>
        <w:rPr>
          <w:rFonts w:eastAsia="方正黑体_GBK"/>
          <w:sz w:val="32"/>
        </w:rPr>
      </w:pPr>
    </w:p>
    <w:p>
      <w:pPr>
        <w:ind w:firstLine="640" w:firstLineChars="200"/>
        <w:rPr>
          <w:rFonts w:eastAsia="方正黑体_GBK"/>
          <w:sz w:val="32"/>
        </w:rPr>
      </w:pPr>
      <w:r>
        <w:rPr>
          <w:rFonts w:hint="eastAsia" w:eastAsia="方正黑体_GBK"/>
          <w:sz w:val="32"/>
        </w:rPr>
        <w:t>2024年部门预算公开报表（详见附表重庆</w:t>
      </w:r>
      <w:r>
        <w:rPr>
          <w:rFonts w:eastAsia="方正黑体_GBK"/>
          <w:sz w:val="32"/>
        </w:rPr>
        <w:t>市开州区</w:t>
      </w:r>
      <w:r>
        <w:rPr>
          <w:rFonts w:hint="eastAsia" w:eastAsia="方正黑体_GBK"/>
          <w:sz w:val="32"/>
        </w:rPr>
        <w:t>国土绿化服务中心</w:t>
      </w:r>
      <w:r>
        <w:rPr>
          <w:rFonts w:eastAsia="方正黑体_GBK"/>
          <w:sz w:val="32"/>
        </w:rPr>
        <w:t>2024年部门预算公开报表</w:t>
      </w:r>
      <w:r>
        <w:rPr>
          <w:rFonts w:hint="eastAsia" w:eastAsia="方正黑体_GBK"/>
          <w:sz w:val="32"/>
        </w:rPr>
        <w:t>）</w:t>
      </w:r>
    </w:p>
    <w:p>
      <w:pPr>
        <w:ind w:firstLine="640" w:firstLineChars="200"/>
        <w:rPr>
          <w:rFonts w:ascii="仿宋_GB2312" w:hAnsi="仿宋_GB2312" w:eastAsia="方正仿宋_GBK" w:cs="仿宋_GB2312"/>
          <w:b/>
          <w:sz w:val="32"/>
        </w:rPr>
      </w:pPr>
      <w:r>
        <w:rPr>
          <w:rFonts w:eastAsia="方正仿宋_GBK"/>
          <w:b/>
          <w:sz w:val="32"/>
        </w:rPr>
        <w:t>部门预算公开联系人：</w:t>
      </w:r>
      <w:r>
        <w:rPr>
          <w:rFonts w:hint="eastAsia" w:eastAsia="方正仿宋_GBK"/>
          <w:b/>
          <w:sz w:val="32"/>
        </w:rPr>
        <w:t>高瑶</w:t>
      </w:r>
      <w:r>
        <w:rPr>
          <w:rFonts w:eastAsia="方正仿宋_GBK"/>
          <w:b/>
          <w:sz w:val="32"/>
        </w:rPr>
        <w:t xml:space="preserve">  联系方式：</w:t>
      </w:r>
      <w:r>
        <w:rPr>
          <w:rFonts w:hint="eastAsia" w:ascii="方正仿宋_GBK" w:eastAsia="方正仿宋_GBK"/>
          <w:b/>
          <w:sz w:val="32"/>
        </w:rPr>
        <w:t>023-52661663</w:t>
      </w: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hint="eastAsia"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ind w:right="640" w:firstLine="640" w:firstLineChars="200"/>
        <w:jc w:val="center"/>
        <w:rPr>
          <w:rFonts w:eastAsia="方正仿宋_GBK"/>
          <w:sz w:val="32"/>
          <w:szCs w:val="32"/>
        </w:rPr>
      </w:pPr>
      <w:r>
        <w:rPr>
          <w:rFonts w:eastAsia="方正仿宋_GBK"/>
          <w:sz w:val="32"/>
          <w:szCs w:val="32"/>
        </w:rPr>
        <w:t xml:space="preserve">                 </w:t>
      </w:r>
      <w:r>
        <w:rPr>
          <w:rFonts w:hint="eastAsia" w:eastAsia="方正仿宋_GBK"/>
          <w:sz w:val="32"/>
          <w:szCs w:val="32"/>
        </w:rPr>
        <w:t>重庆市开州区国土绿化服务中心</w:t>
      </w:r>
    </w:p>
    <w:p>
      <w:pPr>
        <w:spacing w:line="540" w:lineRule="exact"/>
        <w:ind w:right="640" w:firstLine="640" w:firstLineChars="200"/>
        <w:jc w:val="center"/>
        <w:rPr>
          <w:rFonts w:eastAsia="方正仿宋_GBK"/>
          <w:sz w:val="32"/>
          <w:szCs w:val="32"/>
        </w:rPr>
      </w:pPr>
      <w:r>
        <w:rPr>
          <w:rFonts w:eastAsia="方正仿宋_GBK"/>
          <w:sz w:val="32"/>
          <w:szCs w:val="32"/>
        </w:rPr>
        <w:t xml:space="preserve">                       2024</w:t>
      </w:r>
      <w:r>
        <w:rPr>
          <w:rFonts w:hint="eastAsia" w:eastAsia="方正仿宋_GBK"/>
          <w:sz w:val="32"/>
          <w:szCs w:val="32"/>
        </w:rPr>
        <w:t>年</w:t>
      </w:r>
      <w:r>
        <w:rPr>
          <w:rFonts w:eastAsia="方正仿宋_GBK"/>
          <w:sz w:val="32"/>
          <w:szCs w:val="32"/>
        </w:rPr>
        <w:t>3</w:t>
      </w:r>
      <w:r>
        <w:rPr>
          <w:rFonts w:hint="eastAsia" w:eastAsia="方正仿宋_GBK"/>
          <w:sz w:val="32"/>
          <w:szCs w:val="32"/>
        </w:rPr>
        <w:t>月</w:t>
      </w:r>
      <w:r>
        <w:rPr>
          <w:rFonts w:eastAsia="方正仿宋_GBK"/>
          <w:sz w:val="32"/>
          <w:szCs w:val="32"/>
        </w:rPr>
        <w:t>21</w:t>
      </w:r>
      <w:r>
        <w:rPr>
          <w:rFonts w:hint="eastAsia" w:eastAsia="方正仿宋_GBK"/>
          <w:sz w:val="32"/>
          <w:szCs w:val="32"/>
        </w:rPr>
        <w:t>日</w:t>
      </w:r>
      <w:r>
        <w:rPr>
          <w:rFonts w:eastAsia="方正仿宋_GBK"/>
          <w:sz w:val="32"/>
          <w:szCs w:val="32"/>
        </w:rPr>
        <w:t xml:space="preserve"> </w:t>
      </w:r>
    </w:p>
    <w:p>
      <w:pPr>
        <w:spacing w:line="500" w:lineRule="exact"/>
        <w:ind w:firstLine="630"/>
        <w:jc w:val="right"/>
        <w:rPr>
          <w:rFonts w:eastAsia="方正仿宋_GBK"/>
          <w:sz w:val="32"/>
          <w:szCs w:val="32"/>
        </w:rPr>
      </w:pPr>
    </w:p>
    <w:p>
      <w:r>
        <w:rPr>
          <w:rFonts w:ascii="宋体" w:hAnsi="宋体" w:cs="宋体"/>
          <w:kern w:val="0"/>
          <w:sz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414655</wp:posOffset>
                </wp:positionV>
                <wp:extent cx="560070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32.65pt;height:0pt;width:441pt;z-index:251662336;mso-width-relative:page;mso-height-relative:page;" filled="f" stroked="t" coordsize="21600,21600" o:gfxdata="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UtiN3TAAAABgEAAA8AAAAAAAAAAQAgAAAAIgAAAGRycy9k&#10;b3ducmV2LnhtbFBLAQIUABQAAAAIAIdO4kBriGlLzgEAAGYDAAAOAAAAAAAAAAEAIAAAACIBAABk&#10;cnMvZTJvRG9jLnhtbFBLBQYAAAAABgAGAFkBAABi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10160</wp:posOffset>
                </wp:positionV>
                <wp:extent cx="56007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0.8pt;height:0pt;width:441pt;z-index:251661312;mso-width-relative:page;mso-height-relative:page;" filled="f" stroked="t" coordsize="21600,21600" o:gfxdata="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6A3vK0QAAAAQBAAAPAAAAAAAAAAEAIAAAACIAAABkcnMvZG93&#10;bnJldi54bWxQSwECFAAUAAAACACHTuJAVMn4xM4BAABmAwAADgAAAAAAAAABACAAAAAgAQAAZHJz&#10;L2Uyb0RvYy54bWxQSwUGAAAAAAYABgBZAQAAYAUAAAAA&#10;">
                <v:fill on="f" focussize="0,0"/>
                <v:stroke color="#000000" joinstyle="round"/>
                <v:imagedata o:title=""/>
                <o:lock v:ext="edit" aspectratio="f"/>
              </v:line>
            </w:pict>
          </mc:Fallback>
        </mc:AlternateContent>
      </w:r>
      <w:r>
        <w:rPr>
          <w:rFonts w:hint="eastAsia" w:eastAsia="方正仿宋_GBK"/>
          <w:sz w:val="32"/>
          <w:szCs w:val="32"/>
        </w:rPr>
        <w:t>重庆市开州区国土绿化服务中心办公室      2024年3月21日</w:t>
      </w:r>
    </w:p>
    <w:p/>
    <w:sectPr>
      <w:pgSz w:w="11906" w:h="16838"/>
      <w:pgMar w:top="1531" w:right="1531" w:bottom="1531" w:left="1531" w:header="851" w:footer="1474" w:gutter="0"/>
      <w:cols w:space="720" w:num="1"/>
      <w:docGrid w:type="linesAndChars" w:linePitch="313"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44C098"/>
    <w:multiLevelType w:val="singleLevel"/>
    <w:tmpl w:val="A844C09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wYWY4OGZjM2ZkODI2ZTUwYzgwYjBlZDhmYzhhMTgifQ=="/>
  </w:docVars>
  <w:rsids>
    <w:rsidRoot w:val="69592039"/>
    <w:rsid w:val="00015165"/>
    <w:rsid w:val="000A2E10"/>
    <w:rsid w:val="000A7756"/>
    <w:rsid w:val="00120202"/>
    <w:rsid w:val="00166157"/>
    <w:rsid w:val="001826EC"/>
    <w:rsid w:val="001D279B"/>
    <w:rsid w:val="001D76BA"/>
    <w:rsid w:val="00296FA2"/>
    <w:rsid w:val="002F1D96"/>
    <w:rsid w:val="00322B03"/>
    <w:rsid w:val="00353EAA"/>
    <w:rsid w:val="00357093"/>
    <w:rsid w:val="004A3517"/>
    <w:rsid w:val="00572EFA"/>
    <w:rsid w:val="00594AA5"/>
    <w:rsid w:val="00714584"/>
    <w:rsid w:val="007625C2"/>
    <w:rsid w:val="008201FD"/>
    <w:rsid w:val="008C7EE6"/>
    <w:rsid w:val="00927AB5"/>
    <w:rsid w:val="0093047B"/>
    <w:rsid w:val="0099203F"/>
    <w:rsid w:val="009C6ED7"/>
    <w:rsid w:val="00AD5D8C"/>
    <w:rsid w:val="00B41273"/>
    <w:rsid w:val="00BA63F5"/>
    <w:rsid w:val="00BC01B9"/>
    <w:rsid w:val="00C5026C"/>
    <w:rsid w:val="00D52E6E"/>
    <w:rsid w:val="00D53FCF"/>
    <w:rsid w:val="00D54C96"/>
    <w:rsid w:val="00E06782"/>
    <w:rsid w:val="00ED2C93"/>
    <w:rsid w:val="00FF43F3"/>
    <w:rsid w:val="0AAC57C6"/>
    <w:rsid w:val="5C3D63E1"/>
    <w:rsid w:val="69592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rPr>
      <w:rFonts w:ascii="Calibri" w:hAnsi="Calibri"/>
      <w:szCs w:val="22"/>
    </w:rPr>
  </w:style>
  <w:style w:type="character" w:customStyle="1" w:styleId="7">
    <w:name w:val="页眉 Char"/>
    <w:basedOn w:val="4"/>
    <w:link w:val="3"/>
    <w:qFormat/>
    <w:uiPriority w:val="0"/>
    <w:rPr>
      <w:rFonts w:ascii="Times New Roman" w:hAnsi="Times New Roman" w:eastAsia="宋体" w:cs="Times New Roman"/>
      <w:kern w:val="2"/>
      <w:sz w:val="18"/>
      <w:szCs w:val="18"/>
    </w:rPr>
  </w:style>
  <w:style w:type="character" w:customStyle="1" w:styleId="8">
    <w:name w:val="页脚 Char"/>
    <w:basedOn w:val="4"/>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394</Words>
  <Characters>2249</Characters>
  <Lines>18</Lines>
  <Paragraphs>5</Paragraphs>
  <TotalTime>0</TotalTime>
  <ScaleCrop>false</ScaleCrop>
  <LinksUpToDate>false</LinksUpToDate>
  <CharactersWithSpaces>2638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2024-03-07T08:01:00Z</dcterms:created>
  <dc:creator>Cao Dao</dc:creator>
  <cp:lastModifiedBy>张雷</cp:lastModifiedBy>
  <dcterms:modified xsi:type="dcterms:W3CDTF">2024-03-29T02:55:06Z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7A2E78E83590425380344DBADC874784_11</vt:lpwstr>
  </property>
</Properties>
</file>