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8857" w:type="dxa"/>
        <w:jc w:val="center"/>
        <w:tblLayout w:type="fixed"/>
        <w:tblCellMar>
          <w:top w:w="0" w:type="dxa"/>
          <w:left w:w="108" w:type="dxa"/>
          <w:bottom w:w="0" w:type="dxa"/>
          <w:right w:w="108" w:type="dxa"/>
        </w:tblCellMar>
      </w:tblPr>
      <w:tblGrid>
        <w:gridCol w:w="8857"/>
      </w:tblGrid>
      <w:tr w14:paraId="16945B11">
        <w:trPr>
          <w:trHeight w:val="600" w:hRule="atLeast"/>
          <w:jc w:val="center"/>
        </w:trPr>
        <w:tc>
          <w:tcPr>
            <w:tcW w:w="8857" w:type="dxa"/>
            <w:noWrap w:val="0"/>
            <w:vAlign w:val="top"/>
          </w:tcPr>
          <w:p w14:paraId="0C2B52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rPr>
            </w:pPr>
            <w:bookmarkStart w:id="0" w:name="OLE_LINK4"/>
            <w:bookmarkStart w:id="1" w:name="OLE_LINK1"/>
          </w:p>
        </w:tc>
      </w:tr>
      <w:tr w14:paraId="74D77DDA">
        <w:tblPrEx>
          <w:tblCellMar>
            <w:top w:w="0" w:type="dxa"/>
            <w:left w:w="108" w:type="dxa"/>
            <w:bottom w:w="0" w:type="dxa"/>
            <w:right w:w="108" w:type="dxa"/>
          </w:tblCellMar>
        </w:tblPrEx>
        <w:trPr>
          <w:trHeight w:val="638" w:hRule="exact"/>
          <w:jc w:val="center"/>
        </w:trPr>
        <w:tc>
          <w:tcPr>
            <w:tcW w:w="8857" w:type="dxa"/>
            <w:noWrap w:val="0"/>
            <w:vAlign w:val="center"/>
          </w:tcPr>
          <w:p w14:paraId="350C5AE6">
            <w:pPr>
              <w:keepNext w:val="0"/>
              <w:keepLines w:val="0"/>
              <w:pageBreakBefore w:val="0"/>
              <w:widowControl w:val="0"/>
              <w:kinsoku/>
              <w:wordWrap/>
              <w:overflowPunct/>
              <w:topLinePunct w:val="0"/>
              <w:autoSpaceDE/>
              <w:autoSpaceDN/>
              <w:bidi w:val="0"/>
              <w:adjustRightInd/>
              <w:snapToGrid/>
              <w:spacing w:beforeAutospacing="0" w:afterAutospacing="0"/>
              <w:ind w:firstLine="510"/>
              <w:jc w:val="center"/>
              <w:textAlignment w:val="auto"/>
              <w:rPr>
                <w:rFonts w:ascii="Times New Roman" w:hAnsi="Times New Roman" w:eastAsia="方正小标宋简体"/>
                <w:color w:val="FF0000"/>
                <w:w w:val="80"/>
              </w:rPr>
            </w:pPr>
          </w:p>
        </w:tc>
      </w:tr>
      <w:tr w14:paraId="3FB077BF">
        <w:trPr>
          <w:trHeight w:val="2182" w:hRule="exact"/>
          <w:jc w:val="center"/>
        </w:trPr>
        <w:tc>
          <w:tcPr>
            <w:tcW w:w="8857" w:type="dxa"/>
            <w:noWrap w:val="0"/>
            <w:vAlign w:val="center"/>
          </w:tcPr>
          <w:p w14:paraId="48292EE7">
            <w:pPr>
              <w:keepNext w:val="0"/>
              <w:keepLines w:val="0"/>
              <w:pageBreakBefore w:val="0"/>
              <w:widowControl w:val="0"/>
              <w:kinsoku/>
              <w:wordWrap/>
              <w:overflowPunct/>
              <w:topLinePunct w:val="0"/>
              <w:autoSpaceDE/>
              <w:autoSpaceDN/>
              <w:bidi w:val="0"/>
              <w:adjustRightInd/>
              <w:snapToGrid/>
              <w:spacing w:beforeAutospacing="0" w:afterAutospacing="0" w:line="720" w:lineRule="auto"/>
              <w:ind w:firstLine="0" w:firstLineChars="0"/>
              <w:jc w:val="distribute"/>
              <w:textAlignment w:val="auto"/>
              <w:rPr>
                <w:rFonts w:ascii="Times New Roman" w:hAnsi="Times New Roman" w:eastAsia="方正小标宋_GBK"/>
                <w:b/>
                <w:snapToGrid w:val="0"/>
                <w:color w:val="FF0000"/>
                <w:w w:val="60"/>
                <w:kern w:val="0"/>
                <w:sz w:val="132"/>
                <w:szCs w:val="132"/>
              </w:rPr>
            </w:pPr>
            <w:r>
              <w:rPr>
                <w:rFonts w:hint="eastAsia" w:ascii="Times New Roman" w:hAnsi="Times New Roman" w:eastAsia="方正小标宋_GBK"/>
                <w:b/>
                <w:snapToGrid w:val="0"/>
                <w:color w:val="FF0000"/>
                <w:w w:val="58"/>
                <w:kern w:val="0"/>
                <w:sz w:val="132"/>
                <w:szCs w:val="132"/>
              </w:rPr>
              <w:t>重庆市开州区司法局</w:t>
            </w:r>
          </w:p>
          <w:p w14:paraId="3B00617F">
            <w:pPr>
              <w:keepNext w:val="0"/>
              <w:keepLines w:val="0"/>
              <w:pageBreakBefore w:val="0"/>
              <w:widowControl w:val="0"/>
              <w:kinsoku/>
              <w:wordWrap/>
              <w:overflowPunct/>
              <w:topLinePunct w:val="0"/>
              <w:autoSpaceDE/>
              <w:autoSpaceDN/>
              <w:bidi w:val="0"/>
              <w:adjustRightInd/>
              <w:snapToGrid/>
              <w:spacing w:beforeAutospacing="0" w:afterAutospacing="0"/>
              <w:ind w:firstLine="2458"/>
              <w:jc w:val="center"/>
              <w:textAlignment w:val="auto"/>
              <w:rPr>
                <w:rFonts w:ascii="Times New Roman" w:hAnsi="Times New Roman" w:eastAsia="方正小标宋_GBK"/>
                <w:b/>
                <w:color w:val="FF3300"/>
                <w:spacing w:val="252"/>
                <w:w w:val="56"/>
                <w:sz w:val="128"/>
                <w:szCs w:val="128"/>
              </w:rPr>
            </w:pPr>
          </w:p>
        </w:tc>
      </w:tr>
      <w:tr w14:paraId="4D7A5215">
        <w:trPr>
          <w:trHeight w:val="1361" w:hRule="exact"/>
          <w:jc w:val="center"/>
        </w:trPr>
        <w:tc>
          <w:tcPr>
            <w:tcW w:w="8857" w:type="dxa"/>
            <w:noWrap w:val="0"/>
            <w:vAlign w:val="bottom"/>
          </w:tcPr>
          <w:p w14:paraId="304E573D">
            <w:pPr>
              <w:keepNext w:val="0"/>
              <w:keepLines w:val="0"/>
              <w:pageBreakBefore w:val="0"/>
              <w:widowControl w:val="0"/>
              <w:pBdr>
                <w:top w:val="none" w:color="auto" w:sz="0" w:space="1"/>
                <w:left w:val="none" w:color="auto" w:sz="0" w:space="4"/>
                <w:bottom w:val="single" w:color="FF0000" w:sz="24" w:space="1"/>
                <w:right w:val="none" w:color="auto" w:sz="0" w:space="4"/>
              </w:pBdr>
              <w:kinsoku/>
              <w:wordWrap/>
              <w:overflowPunct/>
              <w:topLinePunct w:val="0"/>
              <w:autoSpaceDE/>
              <w:autoSpaceDN/>
              <w:bidi w:val="0"/>
              <w:adjustRightInd/>
              <w:snapToGrid/>
              <w:spacing w:beforeAutospacing="0" w:afterAutospacing="0" w:line="520" w:lineRule="exact"/>
              <w:ind w:firstLine="320" w:firstLineChars="100"/>
              <w:textAlignment w:val="auto"/>
              <w:rPr>
                <w:rFonts w:hint="eastAsia" w:ascii="Times New Roman" w:hAnsi="Times New Roman" w:eastAsia="方正楷体_GBK"/>
                <w:color w:val="000000"/>
                <w:sz w:val="32"/>
                <w:szCs w:val="32"/>
                <w:lang w:eastAsia="zh-CN"/>
              </w:rPr>
            </w:pPr>
            <w:r>
              <w:rPr>
                <w:rFonts w:hint="default" w:ascii="Times New Roman" w:hAnsi="Times New Roman" w:eastAsia="方正仿宋_GBK" w:cs="Times New Roman"/>
                <w:snapToGrid w:val="0"/>
                <w:sz w:val="32"/>
                <w:szCs w:val="32"/>
              </w:rPr>
              <w:t>开州司文</w:t>
            </w:r>
            <w:r>
              <w:rPr>
                <w:rFonts w:hint="eastAsia" w:ascii="Times New Roman" w:hAnsi="Times New Roman" w:eastAsia="方正仿宋_GBK" w:cs="方正仿宋_GBK"/>
                <w:color w:val="000000"/>
                <w:sz w:val="32"/>
                <w:szCs w:val="32"/>
              </w:rPr>
              <w:t>〔</w:t>
            </w:r>
            <w:r>
              <w:rPr>
                <w:rFonts w:hint="default" w:ascii="Times New Roman" w:hAnsi="Times New Roman" w:cs="Times New Roman"/>
                <w:color w:val="000000"/>
                <w:sz w:val="32"/>
                <w:szCs w:val="32"/>
              </w:rPr>
              <w:t>202</w:t>
            </w:r>
            <w:r>
              <w:rPr>
                <w:rFonts w:hint="eastAsia" w:ascii="Times New Roman" w:hAnsi="Times New Roman" w:cs="Times New Roman"/>
                <w:color w:val="000000"/>
                <w:sz w:val="32"/>
                <w:szCs w:val="32"/>
                <w:lang w:val="en-US" w:eastAsia="zh-CN"/>
              </w:rPr>
              <w:t>6</w:t>
            </w:r>
            <w:r>
              <w:rPr>
                <w:rFonts w:hint="eastAsia" w:ascii="Times New Roman" w:hAnsi="Times New Roman" w:eastAsia="方正仿宋_GBK" w:cs="方正仿宋_GBK"/>
                <w:color w:val="000000"/>
                <w:sz w:val="32"/>
                <w:szCs w:val="32"/>
              </w:rPr>
              <w:t>〕</w:t>
            </w:r>
            <w:r>
              <w:rPr>
                <w:rFonts w:hint="eastAsia" w:ascii="Times New Roman" w:hAnsi="Times New Roman" w:cs="Times New Roman"/>
                <w:color w:val="000000"/>
                <w:sz w:val="32"/>
                <w:szCs w:val="32"/>
                <w:lang w:val="en-US" w:eastAsia="zh-CN"/>
              </w:rPr>
              <w:t>8</w:t>
            </w:r>
            <w:r>
              <w:rPr>
                <w:rFonts w:hint="default" w:ascii="Times New Roman" w:hAnsi="Times New Roman" w:eastAsia="方正仿宋_GBK" w:cs="Times New Roman"/>
                <w:snapToGrid w:val="0"/>
                <w:sz w:val="32"/>
                <w:szCs w:val="32"/>
              </w:rPr>
              <w:t>号</w:t>
            </w:r>
            <w:r>
              <w:rPr>
                <w:rFonts w:ascii="Times New Roman" w:hAnsi="Times New Roman"/>
                <w:color w:val="000000"/>
                <w:sz w:val="32"/>
                <w:szCs w:val="32"/>
              </w:rPr>
              <w:t xml:space="preserve">            </w:t>
            </w:r>
            <w:r>
              <w:rPr>
                <w:rFonts w:hint="eastAsia" w:ascii="Times New Roman" w:hAnsi="Times New Roman"/>
                <w:color w:val="000000"/>
                <w:sz w:val="32"/>
                <w:szCs w:val="32"/>
              </w:rPr>
              <w:t xml:space="preserve"> </w:t>
            </w:r>
            <w:r>
              <w:rPr>
                <w:rFonts w:ascii="Times New Roman" w:hAnsi="Times New Roman"/>
                <w:color w:val="000000"/>
                <w:sz w:val="32"/>
                <w:szCs w:val="32"/>
              </w:rPr>
              <w:t xml:space="preserve">  </w:t>
            </w:r>
            <w:r>
              <w:rPr>
                <w:rFonts w:hint="eastAsia" w:ascii="Times New Roman" w:hAnsi="Times New Roman"/>
                <w:color w:val="000000"/>
                <w:sz w:val="32"/>
                <w:szCs w:val="32"/>
              </w:rPr>
              <w:t xml:space="preserve"> </w:t>
            </w:r>
            <w:r>
              <w:rPr>
                <w:rFonts w:hint="default" w:ascii="Times New Roman" w:hAnsi="Times New Roman" w:eastAsia="方正仿宋_GBK" w:cs="Times New Roman"/>
                <w:snapToGrid w:val="0"/>
                <w:sz w:val="32"/>
                <w:szCs w:val="32"/>
              </w:rPr>
              <w:t>签发人</w:t>
            </w:r>
            <w:r>
              <w:rPr>
                <w:rFonts w:ascii="Times New Roman" w:hAnsi="Times New Roman"/>
                <w:color w:val="000000"/>
                <w:sz w:val="32"/>
                <w:szCs w:val="32"/>
              </w:rPr>
              <w:t>：</w:t>
            </w:r>
            <w:r>
              <w:rPr>
                <w:rFonts w:hint="eastAsia" w:ascii="Times New Roman" w:hAnsi="Times New Roman" w:eastAsia="方正楷体_GBK" w:cs="方正楷体_GBK"/>
                <w:color w:val="000000"/>
                <w:sz w:val="32"/>
                <w:szCs w:val="32"/>
                <w:lang w:val="en-US" w:eastAsia="zh-CN"/>
              </w:rPr>
              <w:t>雷平</w:t>
            </w:r>
          </w:p>
          <w:p w14:paraId="4547EDE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1040"/>
              <w:jc w:val="both"/>
              <w:textAlignment w:val="auto"/>
              <w:rPr>
                <w:rFonts w:ascii="Times New Roman" w:hAnsi="Times New Roman"/>
                <w:color w:val="FF3300"/>
                <w:sz w:val="52"/>
                <w:szCs w:val="52"/>
              </w:rPr>
            </w:pPr>
          </w:p>
        </w:tc>
      </w:tr>
    </w:tbl>
    <w:p w14:paraId="3A963515">
      <w:pPr>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ascii="Times New Roman" w:hAnsi="Times New Roman"/>
        </w:rPr>
      </w:pPr>
    </w:p>
    <w:p w14:paraId="6395620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Times New Roman" w:hAnsi="Times New Roman"/>
        </w:rPr>
      </w:pPr>
      <w:r>
        <w:rPr>
          <w:rFonts w:ascii="Times New Roman" w:hAnsi="Times New Roman" w:eastAsia="方正小标宋_GBK"/>
          <w:color w:val="000000"/>
          <w:sz w:val="44"/>
          <w:szCs w:val="44"/>
        </w:rPr>
        <w:t>重庆市开州区</w:t>
      </w:r>
      <w:r>
        <w:rPr>
          <w:rFonts w:hint="eastAsia" w:ascii="Times New Roman" w:hAnsi="Times New Roman" w:eastAsia="方正小标宋_GBK"/>
          <w:color w:val="000000"/>
          <w:sz w:val="44"/>
          <w:szCs w:val="44"/>
          <w:lang w:val="en-US" w:eastAsia="zh-CN"/>
        </w:rPr>
        <w:t>司法局</w:t>
      </w:r>
      <w:bookmarkEnd w:id="0"/>
    </w:p>
    <w:bookmarkEnd w:id="1"/>
    <w:p w14:paraId="3C018FA6">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Times New Roman" w:hAnsi="Times New Roman" w:eastAsia="方正小标宋_GBK"/>
          <w:szCs w:val="32"/>
          <w:highlight w:val="none"/>
        </w:rPr>
      </w:pPr>
      <w:r>
        <w:rPr>
          <w:rFonts w:hint="default" w:ascii="Times New Roman" w:hAnsi="Times New Roman" w:eastAsia="方正小标宋_GBK" w:cs="Times New Roman"/>
          <w:sz w:val="44"/>
          <w:szCs w:val="44"/>
          <w:highlight w:val="none"/>
        </w:rPr>
        <w:t>关于</w:t>
      </w:r>
      <w:r>
        <w:rPr>
          <w:rFonts w:ascii="Times New Roman" w:hAnsi="Times New Roman" w:eastAsia="方正小标宋_GBK"/>
          <w:color w:val="000000"/>
          <w:sz w:val="44"/>
          <w:szCs w:val="44"/>
          <w:highlight w:val="none"/>
        </w:rPr>
        <w:t>重庆市开州区</w:t>
      </w:r>
      <w:r>
        <w:rPr>
          <w:rFonts w:hint="eastAsia" w:ascii="Times New Roman" w:hAnsi="Times New Roman" w:eastAsia="方正小标宋_GBK"/>
          <w:color w:val="000000"/>
          <w:sz w:val="44"/>
          <w:szCs w:val="44"/>
          <w:highlight w:val="none"/>
          <w:lang w:eastAsia="zh-CN"/>
        </w:rPr>
        <w:t>矫正帮教管理服务中心</w:t>
      </w:r>
    </w:p>
    <w:p w14:paraId="28903A5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eastAsia" w:ascii="Times New Roman" w:hAnsi="Times New Roman" w:eastAsia="方正小标宋_GBK" w:cs="Times New Roman"/>
          <w:color w:val="auto"/>
          <w:sz w:val="44"/>
          <w:szCs w:val="44"/>
          <w:highlight w:val="none"/>
          <w:lang w:val="en-US" w:eastAsia="zh-CN"/>
        </w:rPr>
        <w:t>公告</w:t>
      </w:r>
    </w:p>
    <w:p w14:paraId="6D6C8E3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highlight w:val="none"/>
        </w:rPr>
      </w:pPr>
    </w:p>
    <w:p w14:paraId="2F7F6D3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sz w:val="32"/>
          <w:szCs w:val="32"/>
          <w:lang w:val="en-US" w:eastAsia="zh-CN"/>
        </w:rPr>
        <w:t>司法</w:t>
      </w:r>
      <w:r>
        <w:rPr>
          <w:rFonts w:hint="eastAsia" w:ascii="Times New Roman" w:hAnsi="Times New Roman" w:eastAsia="方正仿宋_GBK"/>
          <w:sz w:val="32"/>
          <w:szCs w:val="32"/>
        </w:rPr>
        <w:t>局</w:t>
      </w:r>
      <w:r>
        <w:rPr>
          <w:rFonts w:ascii="Times New Roman" w:hAnsi="Times New Roman" w:eastAsia="方正仿宋_GBK"/>
          <w:sz w:val="32"/>
          <w:szCs w:val="32"/>
        </w:rPr>
        <w:t>《关于批复</w:t>
      </w:r>
      <w:r>
        <w:rPr>
          <w:rFonts w:hint="eastAsia" w:ascii="Times New Roman" w:hAnsi="Times New Roman" w:eastAsia="方正仿宋_GBK"/>
          <w:sz w:val="32"/>
          <w:szCs w:val="32"/>
          <w:lang w:val="en-US" w:eastAsia="zh-CN"/>
        </w:rPr>
        <w:t>重庆市开州</w:t>
      </w:r>
      <w:r>
        <w:rPr>
          <w:rFonts w:hint="eastAsia" w:ascii="Times New Roman" w:hAnsi="Times New Roman" w:eastAsia="方正仿宋_GBK"/>
          <w:sz w:val="32"/>
          <w:szCs w:val="32"/>
          <w:lang w:eastAsia="zh-CN"/>
        </w:rPr>
        <w:t>区矫正帮教管理服务中心202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年预算的通知》</w:t>
      </w:r>
      <w:r>
        <w:rPr>
          <w:rFonts w:hint="default" w:ascii="Times New Roman" w:hAnsi="Times New Roman" w:eastAsia="方正仿宋_GBK" w:cs="Times New Roman"/>
          <w:sz w:val="32"/>
          <w:szCs w:val="32"/>
          <w:highlight w:val="none"/>
        </w:rPr>
        <w:t>（</w:t>
      </w:r>
      <w:r>
        <w:rPr>
          <w:rFonts w:ascii="Times New Roman" w:hAnsi="Times New Roman" w:eastAsia="方正仿宋_GBK" w:cs="Times New Roman"/>
          <w:color w:val="auto"/>
          <w:sz w:val="32"/>
          <w:szCs w:val="34"/>
        </w:rPr>
        <w:t>开州司</w:t>
      </w:r>
      <w:r>
        <w:rPr>
          <w:rFonts w:hint="eastAsia" w:ascii="Times New Roman" w:hAnsi="Times New Roman" w:eastAsia="方正仿宋_GBK" w:cs="Times New Roman"/>
          <w:color w:val="auto"/>
          <w:sz w:val="32"/>
          <w:szCs w:val="34"/>
          <w:lang w:val="en-US" w:eastAsia="zh-CN"/>
        </w:rPr>
        <w:t>发</w:t>
      </w:r>
      <w:r>
        <w:rPr>
          <w:rFonts w:ascii="Times New Roman" w:hAnsi="Times New Roman" w:eastAsia="方正仿宋_GBK" w:cs="Times New Roman"/>
          <w:sz w:val="32"/>
          <w:szCs w:val="34"/>
        </w:rPr>
        <w:t>〔202</w:t>
      </w:r>
      <w:r>
        <w:rPr>
          <w:rFonts w:hint="eastAsia" w:ascii="Times New Roman" w:hAnsi="Times New Roman" w:eastAsia="方正仿宋_GBK" w:cs="Times New Roman"/>
          <w:sz w:val="32"/>
          <w:szCs w:val="34"/>
          <w:lang w:val="en-US" w:eastAsia="zh-CN"/>
        </w:rPr>
        <w:t>6</w:t>
      </w:r>
      <w:r>
        <w:rPr>
          <w:rFonts w:ascii="Times New Roman" w:hAnsi="Times New Roman" w:eastAsia="方正仿宋_GBK" w:cs="Times New Roman"/>
          <w:sz w:val="32"/>
          <w:szCs w:val="34"/>
        </w:rPr>
        <w:t>〕</w:t>
      </w:r>
      <w:r>
        <w:rPr>
          <w:rFonts w:hint="eastAsia" w:ascii="Times New Roman" w:hAnsi="Times New Roman" w:eastAsia="方正仿宋_GBK" w:cs="Times New Roman"/>
          <w:sz w:val="32"/>
          <w:szCs w:val="34"/>
          <w:lang w:val="en-US" w:eastAsia="zh-CN"/>
        </w:rPr>
        <w:t>6</w:t>
      </w:r>
      <w:r>
        <w:rPr>
          <w:rFonts w:ascii="Times New Roman" w:hAnsi="Times New Roman" w:eastAsia="方正仿宋_GBK" w:cs="Times New Roman"/>
          <w:sz w:val="32"/>
          <w:szCs w:val="34"/>
        </w:rPr>
        <w:t>号</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0657FE4C">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7156FF4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261C32E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5756B56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6A7CC6D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F05503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4A3BBB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1BB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A2E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2F15B3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45918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14:paraId="557684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01E17D0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404E61D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Times New Roman" w:hAnsi="Times New Roman" w:eastAsia="方正楷体_GBK" w:cs="Times New Roman"/>
          <w:sz w:val="32"/>
          <w:szCs w:val="32"/>
          <w:highlight w:val="none"/>
        </w:rPr>
      </w:pPr>
    </w:p>
    <w:p w14:paraId="40FCAE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59D69E9B">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737527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收支预算总表</w:t>
      </w:r>
    </w:p>
    <w:p w14:paraId="2950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收入总表</w:t>
      </w:r>
    </w:p>
    <w:p w14:paraId="5C6560B9">
      <w:pPr>
        <w:keepNext w:val="0"/>
        <w:keepLines w:val="0"/>
        <w:pageBreakBefore w:val="0"/>
        <w:widowControl w:val="0"/>
        <w:kinsoku/>
        <w:wordWrap/>
        <w:overflowPunct/>
        <w:topLinePunct w:val="0"/>
        <w:autoSpaceDE/>
        <w:autoSpaceDN/>
        <w:bidi w:val="0"/>
        <w:adjustRightInd/>
        <w:snapToGrid/>
        <w:spacing w:line="600" w:lineRule="exact"/>
        <w:ind w:left="0" w:firstLine="616" w:firstLineChars="200"/>
        <w:textAlignment w:val="auto"/>
        <w:rPr>
          <w:rFonts w:hint="default" w:ascii="Times New Roman" w:hAnsi="Times New Roman" w:eastAsia="方正仿宋_GBK" w:cs="Times New Roman"/>
          <w:spacing w:val="-6"/>
          <w:sz w:val="32"/>
          <w:szCs w:val="32"/>
          <w:highlight w:val="none"/>
        </w:rPr>
      </w:pPr>
      <w:r>
        <w:rPr>
          <w:rFonts w:hint="default" w:ascii="Times New Roman" w:hAnsi="Times New Roman" w:eastAsia="方正仿宋_GBK" w:cs="Times New Roman"/>
          <w:spacing w:val="-6"/>
          <w:sz w:val="32"/>
          <w:szCs w:val="32"/>
          <w:highlight w:val="none"/>
        </w:rPr>
        <w:t>表3、</w:t>
      </w:r>
      <w:r>
        <w:rPr>
          <w:rFonts w:hint="eastAsia" w:ascii="Times New Roman" w:hAnsi="Times New Roman" w:eastAsia="方正仿宋_GBK" w:cs="Times New Roman"/>
          <w:spacing w:val="-6"/>
          <w:sz w:val="32"/>
          <w:szCs w:val="32"/>
          <w:highlight w:val="none"/>
          <w:lang w:eastAsia="zh-CN"/>
        </w:rPr>
        <w:t>重庆市开州区矫正帮教管理服务中心</w:t>
      </w:r>
      <w:r>
        <w:rPr>
          <w:rFonts w:hint="default" w:ascii="Times New Roman" w:hAnsi="Times New Roman" w:eastAsia="方正仿宋_GBK" w:cs="Times New Roman"/>
          <w:spacing w:val="-6"/>
          <w:sz w:val="32"/>
          <w:szCs w:val="32"/>
          <w:highlight w:val="none"/>
        </w:rPr>
        <w:t>本年支出预算总表</w:t>
      </w:r>
    </w:p>
    <w:p w14:paraId="40799F8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财政拨款收支预算总表</w:t>
      </w:r>
    </w:p>
    <w:p w14:paraId="0B877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本年一般公共预算支出预算表</w:t>
      </w:r>
    </w:p>
    <w:p w14:paraId="32E887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一般公共预算基本支出预算表</w:t>
      </w:r>
    </w:p>
    <w:p w14:paraId="49CB3E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14:paraId="1F2A9F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政府性基金预算支出预算表</w:t>
      </w:r>
    </w:p>
    <w:p w14:paraId="4D462EC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国有资本经营预算支出预算表</w:t>
      </w:r>
    </w:p>
    <w:p w14:paraId="00ED5E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项目支出表</w:t>
      </w:r>
    </w:p>
    <w:p w14:paraId="205438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rPr>
        <w:t>项目绩效目标表</w:t>
      </w:r>
    </w:p>
    <w:p w14:paraId="5EAEC48A">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35642FC2">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3270534A">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508CAECF">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79929D16">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4DB58BFD">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28F9D8A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182CAAB">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4D62FF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4A5F643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楷体_GBK"/>
          <w:sz w:val="32"/>
        </w:rPr>
      </w:pPr>
      <w:r>
        <w:rPr>
          <w:rFonts w:hint="eastAsia" w:ascii="Times New Roman" w:hAnsi="Times New Roman" w:eastAsia="方正楷体_GBK"/>
          <w:sz w:val="32"/>
        </w:rPr>
        <w:t>（一）职能职责</w:t>
      </w:r>
    </w:p>
    <w:p w14:paraId="0D0EE6F9">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1.</w:t>
      </w:r>
      <w:r>
        <w:rPr>
          <w:rFonts w:hint="eastAsia" w:ascii="Times New Roman" w:hAnsi="Times New Roman" w:eastAsia="方正仿宋_GBK"/>
          <w:sz w:val="32"/>
          <w:lang w:eastAsia="zh-CN"/>
        </w:rPr>
        <w:t>接收、分派社区矫正对象。</w:t>
      </w:r>
    </w:p>
    <w:p w14:paraId="1A533D5F">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2.</w:t>
      </w:r>
      <w:r>
        <w:rPr>
          <w:rFonts w:hint="eastAsia" w:ascii="Times New Roman" w:hAnsi="Times New Roman" w:eastAsia="方正仿宋_GBK"/>
          <w:sz w:val="32"/>
          <w:lang w:eastAsia="zh-CN"/>
        </w:rPr>
        <w:t>接收、审查、移送社区矫正和安置帮教法律文书。</w:t>
      </w:r>
    </w:p>
    <w:p w14:paraId="18AAF065">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3.</w:t>
      </w:r>
      <w:r>
        <w:rPr>
          <w:rFonts w:hint="eastAsia" w:ascii="Times New Roman" w:hAnsi="Times New Roman" w:eastAsia="方正仿宋_GBK"/>
          <w:sz w:val="32"/>
          <w:lang w:eastAsia="zh-CN"/>
        </w:rPr>
        <w:t>组织对社区矫正对象的入矫宣告、教育训诫、心理辅导、技能培训、就业指导等工作。</w:t>
      </w:r>
    </w:p>
    <w:p w14:paraId="74C0B8D5">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4.</w:t>
      </w:r>
      <w:r>
        <w:rPr>
          <w:rFonts w:hint="eastAsia" w:ascii="Times New Roman" w:hAnsi="Times New Roman" w:eastAsia="方正仿宋_GBK"/>
          <w:sz w:val="32"/>
          <w:lang w:eastAsia="zh-CN"/>
        </w:rPr>
        <w:t>协助对符合条件的社区矫正对象提供临时性救助和安置。</w:t>
      </w:r>
    </w:p>
    <w:p w14:paraId="734A4BC3">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5.</w:t>
      </w:r>
      <w:r>
        <w:rPr>
          <w:rFonts w:hint="eastAsia" w:ascii="Times New Roman" w:hAnsi="Times New Roman" w:eastAsia="方正仿宋_GBK"/>
          <w:sz w:val="32"/>
          <w:lang w:eastAsia="zh-CN"/>
        </w:rPr>
        <w:t>为刑满释放人员提供安置帮教政策咨询、思想道德教育、心理健康教育、就业指导、职业技能培训。</w:t>
      </w:r>
    </w:p>
    <w:p w14:paraId="095ACFEB">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6.</w:t>
      </w:r>
      <w:r>
        <w:rPr>
          <w:rFonts w:hint="eastAsia" w:ascii="Times New Roman" w:hAnsi="Times New Roman" w:eastAsia="方正仿宋_GBK"/>
          <w:sz w:val="32"/>
          <w:lang w:eastAsia="zh-CN"/>
        </w:rPr>
        <w:t>协助对罪犯或犯罪嫌疑人进行拟适用社区矫正社会调查评估。</w:t>
      </w:r>
    </w:p>
    <w:p w14:paraId="4972C077">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7.</w:t>
      </w:r>
      <w:r>
        <w:rPr>
          <w:rFonts w:hint="eastAsia" w:ascii="Times New Roman" w:hAnsi="Times New Roman" w:eastAsia="方正仿宋_GBK"/>
          <w:sz w:val="32"/>
          <w:lang w:eastAsia="zh-CN"/>
        </w:rPr>
        <w:t>协助组织对社区矫正对象和刑满释放人员实施信息化管理和电子定位。</w:t>
      </w:r>
    </w:p>
    <w:p w14:paraId="05C8F4EC">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楷体_GBK"/>
          <w:sz w:val="32"/>
        </w:rPr>
      </w:pPr>
      <w:r>
        <w:rPr>
          <w:rFonts w:hint="eastAsia" w:ascii="Times New Roman" w:hAnsi="Times New Roman" w:eastAsia="方正楷体_GBK"/>
          <w:sz w:val="32"/>
        </w:rPr>
        <w:t>（二）单位构成</w:t>
      </w:r>
    </w:p>
    <w:p w14:paraId="253B9ED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rPr>
      </w:pPr>
      <w:r>
        <w:rPr>
          <w:rFonts w:hint="eastAsia" w:ascii="Times New Roman" w:hAnsi="Times New Roman" w:eastAsia="方正仿宋_GBK"/>
          <w:sz w:val="32"/>
          <w:lang w:eastAsia="zh-CN"/>
        </w:rPr>
        <w:t>重庆市开州区矫正帮教管理服务中心为财政全额拨款的正科级事业单位，设有事业编制</w:t>
      </w:r>
      <w:r>
        <w:rPr>
          <w:rFonts w:hint="eastAsia" w:ascii="Times New Roman" w:hAnsi="Times New Roman" w:eastAsia="方正仿宋_GBK"/>
          <w:sz w:val="32"/>
          <w:lang w:val="en-US" w:eastAsia="zh-CN"/>
        </w:rPr>
        <w:t>7名，领导职数2名</w:t>
      </w:r>
      <w:r>
        <w:rPr>
          <w:rFonts w:ascii="Times New Roman" w:hAnsi="Times New Roman" w:eastAsia="方正仿宋_GBK"/>
          <w:sz w:val="32"/>
        </w:rPr>
        <w:t>。</w:t>
      </w:r>
    </w:p>
    <w:p w14:paraId="1BA2AEE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09AF40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sz w:val="32"/>
          <w:highlight w:val="none"/>
          <w:lang w:val="en-US"/>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年年初预算数102.76万元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102.76万元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w:t>
      </w:r>
      <w:r>
        <w:rPr>
          <w:rFonts w:hint="eastAsia" w:ascii="Times New Roman" w:hAnsi="Times New Roman" w:eastAsia="方正仿宋_GBK" w:cs="Times New Roman"/>
          <w:sz w:val="32"/>
          <w:highlight w:val="none"/>
          <w:lang w:val="en-US" w:eastAsia="zh-CN"/>
        </w:rPr>
        <w:t>元</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增加5.34</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主要原因是2025年人员工资正常晋升及社保基数调整引起费用增加。</w:t>
      </w:r>
    </w:p>
    <w:p w14:paraId="4D4E6E6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年年初预算数102.76万元，其中：</w:t>
      </w:r>
      <w:r>
        <w:rPr>
          <w:rFonts w:hint="eastAsia" w:ascii="Times New Roman" w:hAnsi="Times New Roman" w:eastAsia="方正仿宋_GBK"/>
          <w:sz w:val="32"/>
        </w:rPr>
        <w:t>公共安全支出79.64</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社会保障和就业支出预算</w:t>
      </w:r>
      <w:r>
        <w:rPr>
          <w:rFonts w:hint="eastAsia" w:ascii="Times New Roman" w:hAnsi="Times New Roman" w:eastAsia="方正仿宋_GBK"/>
          <w:sz w:val="32"/>
        </w:rPr>
        <w:t>13.65</w:t>
      </w:r>
      <w:r>
        <w:rPr>
          <w:rFonts w:ascii="Times New Roman" w:hAnsi="Times New Roman" w:eastAsia="方正仿宋_GBK"/>
          <w:sz w:val="32"/>
        </w:rPr>
        <w:t>万元，卫生健康支出预算</w:t>
      </w:r>
      <w:r>
        <w:rPr>
          <w:rFonts w:hint="eastAsia" w:ascii="Times New Roman" w:hAnsi="Times New Roman" w:eastAsia="方正仿宋_GBK"/>
          <w:sz w:val="32"/>
        </w:rPr>
        <w:t>4.8</w:t>
      </w:r>
      <w:r>
        <w:rPr>
          <w:rFonts w:ascii="Times New Roman" w:hAnsi="Times New Roman" w:eastAsia="方正仿宋_GBK"/>
          <w:sz w:val="32"/>
        </w:rPr>
        <w:t>万元，住房保障支出预算</w:t>
      </w:r>
      <w:r>
        <w:rPr>
          <w:rFonts w:hint="eastAsia" w:ascii="Times New Roman" w:hAnsi="Times New Roman" w:eastAsia="方正仿宋_GBK"/>
          <w:sz w:val="32"/>
        </w:rPr>
        <w:t>4.66</w:t>
      </w:r>
      <w:r>
        <w:rPr>
          <w:rFonts w:ascii="Times New Roman" w:hAnsi="Times New Roman" w:eastAsia="方正仿宋_GBK"/>
          <w:sz w:val="32"/>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增加5.34</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主要原因是2025年人员工资正常晋升及社保基数调整引起费用增加。</w:t>
      </w:r>
    </w:p>
    <w:p w14:paraId="294D8B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46480A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年一般公共预算财政拨款收入102.76万元，一般公共预算财政拨款支出102.76万元，比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增加5.34</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102.76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增加5.34</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2025年人员工资正常晋升及社保基数调整引起费用增加</w:t>
      </w:r>
      <w:r>
        <w:rPr>
          <w:rFonts w:hint="eastAsia" w:ascii="Times New Roman" w:hAnsi="Times New Roman" w:eastAsia="方正仿宋_GBK"/>
          <w:sz w:val="32"/>
          <w:lang w:val="en-US" w:eastAsia="zh-CN"/>
        </w:rPr>
        <w:t>，</w:t>
      </w:r>
      <w:r>
        <w:rPr>
          <w:rFonts w:ascii="Times New Roman" w:hAnsi="Times New Roman" w:eastAsia="方正仿宋_GBK"/>
          <w:sz w:val="32"/>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highlight w:val="none"/>
        </w:rPr>
        <w:t>。</w:t>
      </w:r>
      <w:r>
        <w:rPr>
          <w:rFonts w:hint="eastAsia" w:ascii="Times New Roman" w:hAnsi="Times New Roman" w:eastAsia="方正仿宋_GBK"/>
          <w:sz w:val="32"/>
          <w:highlight w:val="none"/>
          <w:lang w:val="en-US" w:eastAsia="zh-CN"/>
        </w:rPr>
        <w:t>项目支出0万元。</w:t>
      </w:r>
    </w:p>
    <w:p w14:paraId="317291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重庆市开州区矫正帮教管理服务中心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6609A5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14:paraId="5877EC52">
      <w:pPr>
        <w:keepNext w:val="0"/>
        <w:keepLines w:val="0"/>
        <w:pageBreakBefore w:val="0"/>
        <w:widowControl w:val="0"/>
        <w:kinsoku/>
        <w:wordWrap/>
        <w:overflowPunct/>
        <w:topLinePunct w:val="0"/>
        <w:autoSpaceDE/>
        <w:autoSpaceDN/>
        <w:bidi w:val="0"/>
        <w:adjustRightInd/>
        <w:snapToGrid/>
        <w:spacing w:line="60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经费预算</w:t>
      </w:r>
      <w:r>
        <w:rPr>
          <w:rFonts w:hint="eastAsia" w:ascii="Times New Roman" w:hAnsi="Times New Roman" w:eastAsia="方正仿宋_GBK" w:cs="Times New Roman"/>
          <w:sz w:val="32"/>
          <w:highlight w:val="none"/>
          <w:lang w:val="en-US" w:eastAsia="zh-CN"/>
        </w:rPr>
        <w:t>0.1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减少1</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持平</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重庆市开州区矫正帮教管理服务中心无公务用车编制</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5645009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05AC70E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lang w:val="en-US" w:eastAsia="zh-CN"/>
        </w:rPr>
        <w:t>一）</w:t>
      </w:r>
      <w:r>
        <w:rPr>
          <w:rFonts w:hint="eastAsia" w:ascii="方正楷体_GBK" w:hAnsi="方正楷体_GBK" w:eastAsia="方正楷体_GBK" w:cs="方正楷体_GBK"/>
          <w:sz w:val="32"/>
        </w:rPr>
        <w:t>我单位不在机关运行经费统计范围之内。</w:t>
      </w:r>
    </w:p>
    <w:p w14:paraId="526033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lang w:eastAsia="zh-CN"/>
        </w:rPr>
        <w:t>（二）政府采购情况。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w:t>
      </w:r>
      <w:r>
        <w:rPr>
          <w:rFonts w:hint="default" w:ascii="方正楷体_GBK" w:hAnsi="方正楷体_GBK" w:eastAsia="方正楷体_GBK" w:cs="方正楷体_GBK"/>
          <w:sz w:val="32"/>
          <w:lang w:eastAsia="zh-CN"/>
        </w:rPr>
        <w:t>预算</w:t>
      </w:r>
      <w:r>
        <w:rPr>
          <w:rFonts w:hint="eastAsia" w:ascii="方正楷体_GBK" w:hAnsi="方正楷体_GBK" w:eastAsia="方正楷体_GBK" w:cs="方正楷体_GBK"/>
          <w:sz w:val="32"/>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0DCA93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lang w:eastAsia="zh-CN"/>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w:t>
      </w:r>
      <w:r>
        <w:rPr>
          <w:rFonts w:hint="eastAsia" w:ascii="Times New Roman" w:hAnsi="Times New Roman" w:eastAsia="仿宋" w:cs="仿宋"/>
          <w:color w:val="000000"/>
          <w:sz w:val="32"/>
          <w:lang w:val="en-US" w:eastAsia="zh-CN"/>
        </w:rPr>
        <w:t>初预算无</w:t>
      </w:r>
      <w:r>
        <w:rPr>
          <w:rFonts w:hint="eastAsia" w:ascii="Times New Roman" w:hAnsi="Times New Roman" w:eastAsia="仿宋" w:cs="仿宋"/>
          <w:color w:val="000000"/>
          <w:sz w:val="32"/>
        </w:rPr>
        <w:t>项目支出</w:t>
      </w:r>
      <w:r>
        <w:rPr>
          <w:rFonts w:hint="eastAsia" w:ascii="Times New Roman" w:hAnsi="Times New Roman" w:eastAsia="仿宋" w:cs="仿宋"/>
          <w:color w:val="000000"/>
          <w:sz w:val="32"/>
          <w:lang w:eastAsia="zh-CN"/>
        </w:rPr>
        <w:t>，</w:t>
      </w:r>
      <w:r>
        <w:rPr>
          <w:rFonts w:hint="eastAsia" w:ascii="Times New Roman" w:hAnsi="Times New Roman" w:eastAsia="仿宋" w:cs="仿宋"/>
          <w:sz w:val="32"/>
          <w:lang w:val="en-US" w:eastAsia="zh-CN"/>
        </w:rPr>
        <w:t>无项目</w:t>
      </w:r>
      <w:r>
        <w:rPr>
          <w:rFonts w:hint="eastAsia" w:ascii="Times New Roman" w:hAnsi="Times New Roman" w:eastAsia="仿宋" w:cs="仿宋"/>
          <w:sz w:val="32"/>
        </w:rPr>
        <w:t>绩效目标管理</w:t>
      </w:r>
      <w:r>
        <w:rPr>
          <w:rFonts w:hint="eastAsia" w:ascii="Times New Roman" w:hAnsi="Times New Roman" w:eastAsia="仿宋" w:cs="仿宋"/>
          <w:color w:val="000000"/>
          <w:sz w:val="32"/>
        </w:rPr>
        <w:t>，涉及一般公共预算当年财政拨款</w:t>
      </w:r>
      <w:r>
        <w:rPr>
          <w:rFonts w:hint="eastAsia" w:ascii="Times New Roman" w:hAnsi="Times New Roman" w:eastAsia="仿宋" w:cs="仿宋"/>
          <w:color w:val="000000"/>
          <w:sz w:val="32"/>
          <w:lang w:val="en-US" w:eastAsia="zh-CN"/>
        </w:rPr>
        <w:t>0</w:t>
      </w:r>
      <w:r>
        <w:rPr>
          <w:rFonts w:hint="eastAsia" w:ascii="Times New Roman" w:hAnsi="Times New Roman" w:eastAsia="仿宋" w:cs="仿宋"/>
          <w:color w:val="000000"/>
          <w:sz w:val="32"/>
        </w:rPr>
        <w:t>万元。</w:t>
      </w:r>
    </w:p>
    <w:p w14:paraId="5FEBCC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lang w:eastAsia="zh-CN"/>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w:t>
      </w:r>
      <w:r>
        <w:rPr>
          <w:rFonts w:hint="eastAsia" w:ascii="Times New Roman" w:hAnsi="Times New Roman" w:eastAsia="方正仿宋_GBK" w:cs="仿宋_GB2312"/>
          <w:color w:val="000000"/>
          <w:sz w:val="32"/>
          <w:lang w:val="en-US" w:eastAsia="zh-CN"/>
        </w:rPr>
        <w:t>应急保障用车0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6DB6767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7878EF5B">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E7222DD">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14:paraId="5EF4D900">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7F1EE37">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D2618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1AB67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小标宋_GBK" w:cs="Times New Roman"/>
          <w:sz w:val="44"/>
          <w:szCs w:val="44"/>
          <w:highlight w:val="none"/>
        </w:rPr>
      </w:pPr>
    </w:p>
    <w:p w14:paraId="21EE35E4">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D5438A3">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eastAsia" w:ascii="Times New Roman" w:hAnsi="Times New Roman" w:eastAsia="方正小标宋_GBK" w:cs="Times New Roman"/>
          <w:sz w:val="44"/>
          <w:szCs w:val="44"/>
          <w:highlight w:val="none"/>
          <w:lang w:eastAsia="zh-CN"/>
        </w:rPr>
      </w:pPr>
    </w:p>
    <w:p w14:paraId="592298DC">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eastAsia" w:ascii="Times New Roman" w:hAnsi="Times New Roman" w:eastAsia="方正小标宋_GBK" w:cs="Times New Roman"/>
          <w:sz w:val="44"/>
          <w:szCs w:val="44"/>
          <w:highlight w:val="none"/>
          <w:lang w:eastAsia="zh-CN"/>
        </w:rPr>
      </w:pPr>
    </w:p>
    <w:p w14:paraId="6584961E">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eastAsia" w:ascii="Times New Roman" w:hAnsi="Times New Roman" w:eastAsia="方正小标宋_GBK" w:cs="Times New Roman"/>
          <w:sz w:val="44"/>
          <w:szCs w:val="44"/>
          <w:highlight w:val="none"/>
          <w:lang w:eastAsia="zh-CN"/>
        </w:rPr>
      </w:pPr>
    </w:p>
    <w:p w14:paraId="692E9802">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eastAsia" w:ascii="Times New Roman" w:hAnsi="Times New Roman" w:eastAsia="方正小标宋_GBK" w:cs="Times New Roman"/>
          <w:sz w:val="44"/>
          <w:szCs w:val="44"/>
          <w:highlight w:val="none"/>
          <w:lang w:eastAsia="zh-CN"/>
        </w:rPr>
      </w:pPr>
    </w:p>
    <w:p w14:paraId="76C76EC8">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eastAsia" w:ascii="Times New Roman" w:hAnsi="Times New Roman" w:eastAsia="方正小标宋_GBK" w:cs="Times New Roman"/>
          <w:sz w:val="44"/>
          <w:szCs w:val="44"/>
          <w:highlight w:val="none"/>
          <w:lang w:eastAsia="zh-CN"/>
        </w:rPr>
      </w:pPr>
    </w:p>
    <w:p w14:paraId="063783F7">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C4799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p>
    <w:p w14:paraId="462038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重庆市开州区矫正帮教管理服务中心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3373C3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390BDF1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部门预算公开联系人：</w:t>
      </w:r>
      <w:r>
        <w:rPr>
          <w:rFonts w:hint="eastAsia" w:ascii="Times New Roman" w:hAnsi="Times New Roman" w:eastAsia="方正仿宋_GBK" w:cs="Times New Roman"/>
          <w:sz w:val="32"/>
          <w:szCs w:val="32"/>
          <w:highlight w:val="none"/>
          <w:lang w:val="en-US" w:eastAsia="zh-CN"/>
        </w:rPr>
        <w:t>罗兴婧</w:t>
      </w:r>
      <w:r>
        <w:rPr>
          <w:rFonts w:hint="default" w:ascii="Times New Roman" w:hAnsi="Times New Roman" w:eastAsia="方正仿宋_GBK" w:cs="Times New Roman"/>
          <w:sz w:val="32"/>
          <w:szCs w:val="32"/>
          <w:highlight w:val="none"/>
          <w:lang w:val="en-US" w:eastAsia="zh-CN"/>
        </w:rPr>
        <w:t xml:space="preserve">  </w:t>
      </w:r>
    </w:p>
    <w:p w14:paraId="48BDFC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联系方式：023-</w:t>
      </w:r>
      <w:r>
        <w:rPr>
          <w:rFonts w:hint="eastAsia" w:ascii="Times New Roman" w:hAnsi="Times New Roman" w:eastAsia="方正仿宋_GBK" w:cs="Times New Roman"/>
          <w:sz w:val="32"/>
          <w:szCs w:val="32"/>
          <w:highlight w:val="none"/>
          <w:lang w:val="en-US" w:eastAsia="zh-CN"/>
        </w:rPr>
        <w:t>52218608</w:t>
      </w:r>
    </w:p>
    <w:p w14:paraId="4D2FA0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1CD453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0788E904">
      <w:pPr>
        <w:keepNext w:val="0"/>
        <w:keepLines w:val="0"/>
        <w:pageBreakBefore w:val="0"/>
        <w:widowControl w:val="0"/>
        <w:kinsoku/>
        <w:wordWrap/>
        <w:overflowPunct/>
        <w:topLinePunct w:val="0"/>
        <w:autoSpaceDE/>
        <w:autoSpaceDN/>
        <w:bidi w:val="0"/>
        <w:adjustRightInd/>
        <w:snapToGrid/>
        <w:spacing w:line="600" w:lineRule="exact"/>
        <w:ind w:left="0" w:firstLine="5120" w:firstLineChars="16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重庆市开州区司法局</w:t>
      </w:r>
    </w:p>
    <w:p w14:paraId="41258191">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2026年3月10日</w:t>
      </w:r>
    </w:p>
    <w:p w14:paraId="35B5A77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65555EE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AD33527">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3758D095">
      <w:pPr>
        <w:spacing w:line="560" w:lineRule="exact"/>
        <w:jc w:val="center"/>
        <w:rPr>
          <w:rFonts w:hint="default" w:ascii="Times New Roman" w:hAnsi="Times New Roman" w:eastAsia="方正仿宋_GBK" w:cs="Times New Roman"/>
          <w:sz w:val="32"/>
          <w:szCs w:val="32"/>
          <w:highlight w:val="none"/>
        </w:rPr>
      </w:pPr>
    </w:p>
    <w:p w14:paraId="7E5610F6">
      <w:pPr>
        <w:spacing w:line="640" w:lineRule="exact"/>
        <w:jc w:val="center"/>
        <w:rPr>
          <w:rFonts w:hint="default" w:ascii="Times New Roman" w:hAnsi="Times New Roman" w:eastAsia="方正仿宋_GBK" w:cs="Times New Roman"/>
          <w:sz w:val="32"/>
          <w:szCs w:val="32"/>
          <w:highlight w:val="none"/>
        </w:rPr>
      </w:pPr>
    </w:p>
    <w:p w14:paraId="29D8FB19">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60B25D8C">
      <w:pPr>
        <w:tabs>
          <w:tab w:val="left" w:pos="1440"/>
        </w:tabs>
        <w:spacing w:line="640" w:lineRule="exact"/>
        <w:rPr>
          <w:rFonts w:hint="default" w:ascii="Times New Roman" w:hAnsi="Times New Roman" w:eastAsia="方正仿宋_GBK" w:cs="Times New Roman"/>
          <w:sz w:val="32"/>
          <w:szCs w:val="32"/>
          <w:highlight w:val="none"/>
        </w:rPr>
      </w:pPr>
    </w:p>
    <w:p w14:paraId="1E8C7730">
      <w:pPr>
        <w:tabs>
          <w:tab w:val="left" w:pos="1440"/>
        </w:tabs>
        <w:spacing w:line="640" w:lineRule="exact"/>
        <w:rPr>
          <w:rFonts w:hint="default" w:ascii="Times New Roman" w:hAnsi="Times New Roman" w:eastAsia="方正仿宋_GBK" w:cs="Times New Roman"/>
          <w:sz w:val="32"/>
          <w:szCs w:val="32"/>
          <w:highlight w:val="none"/>
        </w:rPr>
      </w:pPr>
    </w:p>
    <w:p w14:paraId="1B37C497">
      <w:pPr>
        <w:tabs>
          <w:tab w:val="left" w:pos="1440"/>
        </w:tabs>
        <w:spacing w:line="640" w:lineRule="exact"/>
        <w:rPr>
          <w:rFonts w:hint="default" w:ascii="Times New Roman" w:hAnsi="Times New Roman" w:eastAsia="方正仿宋_GBK" w:cs="Times New Roman"/>
          <w:sz w:val="32"/>
          <w:szCs w:val="32"/>
          <w:highlight w:val="none"/>
        </w:rPr>
      </w:pPr>
    </w:p>
    <w:p w14:paraId="5B4D45AB">
      <w:pPr>
        <w:overflowPunct w:val="0"/>
        <w:spacing w:line="480" w:lineRule="exact"/>
        <w:ind w:firstLine="280" w:firstLineChars="100"/>
        <w:jc w:val="left"/>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0"/>
          <w:sz w:val="28"/>
          <w:szCs w:val="28"/>
          <w:highlight w:val="none"/>
          <w:lang w:val="en-US"/>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0288;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lang w:val="en-US"/>
        </w:rPr>
        <mc:AlternateContent>
          <mc:Choice Requires="wps">
            <w:drawing>
              <wp:anchor distT="0" distB="0" distL="114300" distR="114300" simplePos="0" relativeHeight="251661312" behindDoc="0" locked="0" layoutInCell="1" allowOverlap="1">
                <wp:simplePos x="0" y="0"/>
                <wp:positionH relativeFrom="margin">
                  <wp:posOffset>102235</wp:posOffset>
                </wp:positionH>
                <wp:positionV relativeFrom="paragraph">
                  <wp:posOffset>18415</wp:posOffset>
                </wp:positionV>
                <wp:extent cx="5532755" cy="571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32755" cy="571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05pt;margin-top:1.45pt;height:0.45pt;width:435.65pt;mso-position-horizontal-relative:margin;z-index:251661312;mso-width-relative:page;mso-height-relative:page;" filled="f" stroked="t" coordsize="21600,21600" o:gfxdata="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np6RNQA&#10;AAAGAQAADwAAAAAAAAABACAAAAAiAAAAZHJzL2Rvd25yZXYueG1sUEsBAhQAFAAAAAgAh07iQPuW&#10;QvTqAQAAuwMAAA4AAAAAAAAAAQAgAAAAIw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重庆市开州区司法局</w:t>
      </w:r>
      <w:r>
        <w:rPr>
          <w:rFonts w:hint="default" w:ascii="Times New Roman" w:hAnsi="Times New Roman" w:eastAsia="方正仿宋_GBK" w:cs="Times New Roman"/>
          <w:kern w:val="0"/>
          <w:sz w:val="28"/>
          <w:szCs w:val="28"/>
          <w:highlight w:val="none"/>
        </w:rPr>
        <w:t xml:space="preserve">办公室　         </w:t>
      </w:r>
      <w:r>
        <w:rPr>
          <w:rFonts w:hint="eastAsia"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10</w:t>
      </w:r>
      <w:bookmarkStart w:id="2" w:name="_GoBack"/>
      <w:bookmarkEnd w:id="2"/>
      <w:r>
        <w:rPr>
          <w:rFonts w:hint="default" w:ascii="Times New Roman" w:hAnsi="Times New Roman" w:eastAsia="方正仿宋_GBK" w:cs="Times New Roman"/>
          <w:kern w:val="0"/>
          <w:sz w:val="28"/>
          <w:szCs w:val="28"/>
          <w:highlight w:val="none"/>
        </w:rPr>
        <w:t>日印发</w:t>
      </w:r>
      <w:r>
        <w:rPr>
          <w:rFonts w:hint="eastAsia" w:ascii="Times New Roman" w:hAnsi="Times New Roman" w:eastAsia="方正仿宋_GBK" w:cs="Times New Roman"/>
          <w:kern w:val="0"/>
          <w:sz w:val="28"/>
          <w:szCs w:val="28"/>
          <w:highlight w:val="non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宋体-GB2312"/>
    <w:panose1 w:val="02020603050405020304"/>
    <w:charset w:val="86"/>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ESI宋体-GB2312">
    <w:panose1 w:val="02000500000000000000"/>
    <w:charset w:val="86"/>
    <w:family w:val="auto"/>
    <w:pitch w:val="default"/>
    <w:sig w:usb0="800002AF" w:usb1="0847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2000000000000000000"/>
    <w:charset w:val="86"/>
    <w:family w:val="auto"/>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方正小标宋_GBK">
    <w:altName w:val="CESI小标宋-GB13000"/>
    <w:panose1 w:val="03000509000000000000"/>
    <w:charset w:val="86"/>
    <w:family w:val="auto"/>
    <w:pitch w:val="default"/>
    <w:sig w:usb0="00000000" w:usb1="00000000" w:usb2="00000000" w:usb3="00000000" w:csb0="00040000" w:csb1="00000000"/>
  </w:font>
  <w:font w:name="方正楷体_GBK">
    <w:altName w:val="CESI楷体-GB13000"/>
    <w:panose1 w:val="03000509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方正黑体_GBK">
    <w:altName w:val="CESI黑体-GB13000"/>
    <w:panose1 w:val="03000509000000000000"/>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75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-380365</wp:posOffset>
              </wp:positionV>
              <wp:extent cx="805815" cy="304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581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E569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9.95pt;height:24pt;width:63.45pt;mso-position-horizontal-relative:margin;z-index:251659264;mso-width-relative:page;mso-height-relative:page;" filled="f" stroked="f" coordsize="21600,21600" o:gfxdata="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9Y/NM1wAAAAgBAAAPAAAAAAAAAAEAIAAAACIAAABkcnMvZG93bnJl&#10;di54bWxQSwECFAAUAAAACACHTuJARVxs3TcCAABhBAAADgAAAAAAAAABACAAAAAmAQAAZHJzL2Uy&#10;b0RvYy54bWxQSwUGAAAAAAYABgBZAQAAzwUAAAAA&#10;">
              <v:fill on="f" focussize="0,0"/>
              <v:stroke on="f" weight="0.5pt"/>
              <v:imagedata o:title=""/>
              <o:lock v:ext="edit" aspectratio="f"/>
              <v:textbox inset="0mm,0mm,0mm,0mm">
                <w:txbxContent>
                  <w:p w14:paraId="3E6E569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47CAD"/>
    <w:rsid w:val="016027F7"/>
    <w:rsid w:val="03546191"/>
    <w:rsid w:val="044F0626"/>
    <w:rsid w:val="08AB6853"/>
    <w:rsid w:val="09494D55"/>
    <w:rsid w:val="0A8637E6"/>
    <w:rsid w:val="0AF8461B"/>
    <w:rsid w:val="0D330405"/>
    <w:rsid w:val="0D8458C4"/>
    <w:rsid w:val="100430D4"/>
    <w:rsid w:val="108A4FA0"/>
    <w:rsid w:val="13980DFA"/>
    <w:rsid w:val="154E53FC"/>
    <w:rsid w:val="16105D1D"/>
    <w:rsid w:val="17B64D5E"/>
    <w:rsid w:val="18845FDE"/>
    <w:rsid w:val="197873E6"/>
    <w:rsid w:val="1A0C4944"/>
    <w:rsid w:val="1A8B2040"/>
    <w:rsid w:val="1B463CB8"/>
    <w:rsid w:val="1BC55077"/>
    <w:rsid w:val="1F8578ED"/>
    <w:rsid w:val="1F9B373A"/>
    <w:rsid w:val="1FDF6FB0"/>
    <w:rsid w:val="247E49C4"/>
    <w:rsid w:val="24BE34CC"/>
    <w:rsid w:val="25FC3382"/>
    <w:rsid w:val="26A34BB6"/>
    <w:rsid w:val="270D494B"/>
    <w:rsid w:val="27902E1F"/>
    <w:rsid w:val="27C44CB6"/>
    <w:rsid w:val="27E234BC"/>
    <w:rsid w:val="2B92022A"/>
    <w:rsid w:val="2D871D56"/>
    <w:rsid w:val="2F5C381D"/>
    <w:rsid w:val="2FB30A8F"/>
    <w:rsid w:val="30856F7F"/>
    <w:rsid w:val="319F44BB"/>
    <w:rsid w:val="32CB52C2"/>
    <w:rsid w:val="34124EDB"/>
    <w:rsid w:val="34714E4F"/>
    <w:rsid w:val="34DB6618"/>
    <w:rsid w:val="39444501"/>
    <w:rsid w:val="39726AD8"/>
    <w:rsid w:val="3DF23D85"/>
    <w:rsid w:val="3E36790A"/>
    <w:rsid w:val="41E952A1"/>
    <w:rsid w:val="43B6657F"/>
    <w:rsid w:val="442708F5"/>
    <w:rsid w:val="44677611"/>
    <w:rsid w:val="45D34423"/>
    <w:rsid w:val="48E01D1C"/>
    <w:rsid w:val="4B963850"/>
    <w:rsid w:val="4DBB2E8F"/>
    <w:rsid w:val="4ED66442"/>
    <w:rsid w:val="4EE71F8F"/>
    <w:rsid w:val="50F76E43"/>
    <w:rsid w:val="52C063E6"/>
    <w:rsid w:val="53AF33AB"/>
    <w:rsid w:val="54847D2C"/>
    <w:rsid w:val="54FD7BB5"/>
    <w:rsid w:val="56EF5B23"/>
    <w:rsid w:val="59B61F2F"/>
    <w:rsid w:val="5A930791"/>
    <w:rsid w:val="5B147CAD"/>
    <w:rsid w:val="5C657042"/>
    <w:rsid w:val="5DAA7A9B"/>
    <w:rsid w:val="62DC4040"/>
    <w:rsid w:val="62EC223D"/>
    <w:rsid w:val="637706CF"/>
    <w:rsid w:val="64442C0B"/>
    <w:rsid w:val="660C1752"/>
    <w:rsid w:val="66493ACD"/>
    <w:rsid w:val="67ED11C6"/>
    <w:rsid w:val="686376CA"/>
    <w:rsid w:val="691B0000"/>
    <w:rsid w:val="6A8A6A8E"/>
    <w:rsid w:val="6D417909"/>
    <w:rsid w:val="6E8A3497"/>
    <w:rsid w:val="6FD44AAD"/>
    <w:rsid w:val="70787AE6"/>
    <w:rsid w:val="708D3A93"/>
    <w:rsid w:val="727853A9"/>
    <w:rsid w:val="73C252D7"/>
    <w:rsid w:val="76991F06"/>
    <w:rsid w:val="782A5B6A"/>
    <w:rsid w:val="7BD427EF"/>
    <w:rsid w:val="7C55517F"/>
    <w:rsid w:val="7C7B2339"/>
    <w:rsid w:val="FAF7F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bc0bee3c-1875-4bff-95ba-48726aa7ce33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2F7F6D34</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90e12cd3-3506-455a-801d-e44ffdf6abdf</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 9AF40A9</paraID>
      <start xmlns="http://schemas.wps.cn/vas-ai-hub/contract-review">39</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f108b136-2968-4a38-9de1-6eaba17dd506</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526033BF</paraID>
      <start xmlns="http://schemas.wps.cn/vas-ai-hub/contract-review">67</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8bd1b137-9e74-4992-b981-7ffc74d2d7b1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7779b7d8-7e38-49b7-b408-3e3100a536ae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b8495-ff4b-4175-b9b1-7639a405895c}">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2398</Words>
  <Characters>2588</Characters>
  <Lines>0</Lines>
  <Paragraphs>0</Paragraphs>
  <TotalTime>7</TotalTime>
  <ScaleCrop>false</ScaleCrop>
  <LinksUpToDate>false</LinksUpToDate>
  <CharactersWithSpaces>2624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2026-02-25T18:42:00Z</dcterms:created>
  <dc:creator>LXJ</dc:creator>
  <cp:lastModifiedBy>user</cp:lastModifiedBy>
  <dcterms:modified xsi:type="dcterms:W3CDTF">2026-03-10T11:53:21Z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2BFA585B41F044D0908BF594C5EA8521_11</vt:lpwstr>
  </property>
  <property fmtid="{D5CDD505-2E9C-101B-9397-08002B2CF9AE}" pid="4" name="KSOTemplateDocerSaveRecord">
    <vt:lpwstr>eyJoZGlkIjoiNjBlY2Q2NDBiMDU1YTZjZTYyZTZmYWEzOWE2YTI1ZGYiLCJ1c2VySWQiOiI0NDg3NjUxNzkifQ==</vt:lpwstr>
  </property>
</Properties>
</file>