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horzAnchor="margin" w:tblpXSpec="center" w:tblpYSpec="top"/>
        <w:tblW w:w="8857" w:type="dxa"/>
        <w:jc w:val="center"/>
        <w:tblLayout w:type="fixed"/>
        <w:tblCellMar>
          <w:top w:w="0" w:type="dxa"/>
          <w:left w:w="108" w:type="dxa"/>
          <w:bottom w:w="0" w:type="dxa"/>
          <w:right w:w="108" w:type="dxa"/>
        </w:tblCellMar>
      </w:tblPr>
      <w:tblGrid>
        <w:gridCol w:w="8857"/>
      </w:tblGrid>
      <w:tr w14:paraId="1978DFE2">
        <w:tblPrEx>
          <w:tblCellMar>
            <w:top w:w="0" w:type="dxa"/>
            <w:left w:w="108" w:type="dxa"/>
            <w:bottom w:w="0" w:type="dxa"/>
            <w:right w:w="108" w:type="dxa"/>
          </w:tblCellMar>
        </w:tblPrEx>
        <w:trPr>
          <w:trHeight w:val="600" w:hRule="atLeast"/>
          <w:jc w:val="center"/>
        </w:trPr>
        <w:tc>
          <w:tcPr>
            <w:tcW w:w="8857" w:type="dxa"/>
            <w:vAlign w:val="top"/>
          </w:tcPr>
          <w:p w14:paraId="08AA757F">
            <w:pPr>
              <w:spacing w:line="600" w:lineRule="exact"/>
              <w:rPr>
                <w:szCs w:val="32"/>
              </w:rPr>
            </w:pPr>
          </w:p>
        </w:tc>
      </w:tr>
      <w:tr w14:paraId="1EF987DF">
        <w:trPr>
          <w:trHeight w:val="851" w:hRule="exact"/>
          <w:jc w:val="center"/>
        </w:trPr>
        <w:tc>
          <w:tcPr>
            <w:tcW w:w="8857" w:type="dxa"/>
            <w:vAlign w:val="center"/>
          </w:tcPr>
          <w:p w14:paraId="5ECF1271">
            <w:pPr>
              <w:jc w:val="center"/>
              <w:rPr>
                <w:rFonts w:ascii="方正小标宋简体" w:eastAsia="方正小标宋简体"/>
                <w:color w:val="FF0000"/>
                <w:w w:val="80"/>
              </w:rPr>
            </w:pPr>
          </w:p>
        </w:tc>
      </w:tr>
      <w:tr w14:paraId="31318E78">
        <w:tblPrEx>
          <w:tblCellMar>
            <w:top w:w="0" w:type="dxa"/>
            <w:left w:w="108" w:type="dxa"/>
            <w:bottom w:w="0" w:type="dxa"/>
            <w:right w:w="108" w:type="dxa"/>
          </w:tblCellMar>
        </w:tblPrEx>
        <w:trPr>
          <w:trHeight w:val="2495" w:hRule="exact"/>
          <w:jc w:val="center"/>
        </w:trPr>
        <w:tc>
          <w:tcPr>
            <w:tcW w:w="8857" w:type="dxa"/>
            <w:vAlign w:val="center"/>
          </w:tcPr>
          <w:p w14:paraId="788ACD80">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distribute"/>
              <w:textAlignment w:val="auto"/>
              <w:rPr>
                <w:rFonts w:hint="eastAsia" w:ascii="方正小标宋_GBK" w:eastAsia="方正小标宋_GBK"/>
                <w:b/>
                <w:snapToGrid w:val="0"/>
                <w:color w:val="FF0000"/>
                <w:w w:val="60"/>
                <w:kern w:val="0"/>
                <w:sz w:val="132"/>
                <w:szCs w:val="132"/>
              </w:rPr>
            </w:pPr>
            <w:r>
              <w:rPr>
                <w:rFonts w:hint="eastAsia" w:eastAsia="方正小标宋_GBK"/>
                <w:b/>
                <w:snapToGrid w:val="0"/>
                <w:color w:val="FF0000"/>
                <w:w w:val="58"/>
                <w:kern w:val="0"/>
                <w:sz w:val="132"/>
                <w:szCs w:val="132"/>
              </w:rPr>
              <w:t>重庆市开州区司法局</w:t>
            </w:r>
          </w:p>
          <w:p w14:paraId="6D637B0F">
            <w:pPr>
              <w:jc w:val="center"/>
              <w:rPr>
                <w:rFonts w:eastAsia="方正小标宋_GBK"/>
                <w:b/>
                <w:color w:val="FF3300"/>
                <w:spacing w:val="252"/>
                <w:w w:val="56"/>
                <w:sz w:val="128"/>
                <w:szCs w:val="128"/>
              </w:rPr>
            </w:pPr>
          </w:p>
        </w:tc>
      </w:tr>
      <w:tr w14:paraId="7B60064A">
        <w:tblPrEx>
          <w:tblCellMar>
            <w:top w:w="0" w:type="dxa"/>
            <w:left w:w="108" w:type="dxa"/>
            <w:bottom w:w="0" w:type="dxa"/>
            <w:right w:w="108" w:type="dxa"/>
          </w:tblCellMar>
        </w:tblPrEx>
        <w:trPr>
          <w:trHeight w:val="1361" w:hRule="exact"/>
          <w:jc w:val="center"/>
        </w:trPr>
        <w:tc>
          <w:tcPr>
            <w:tcW w:w="8857" w:type="dxa"/>
            <w:vAlign w:val="bottom"/>
          </w:tcPr>
          <w:p w14:paraId="1B4BEA34">
            <w:pPr>
              <w:pBdr>
                <w:top w:val="none" w:color="auto" w:sz="0" w:space="1"/>
                <w:left w:val="none" w:color="auto" w:sz="0" w:space="4"/>
                <w:bottom w:val="single" w:color="FF0000" w:sz="24" w:space="1"/>
                <w:right w:val="none" w:color="auto" w:sz="0" w:space="4"/>
              </w:pBdr>
              <w:spacing w:line="520" w:lineRule="exact"/>
              <w:ind w:firstLine="320" w:firstLineChars="100"/>
              <w:rPr>
                <w:rFonts w:hint="eastAsia" w:ascii="仿宋_GB2312" w:hAnsi="宋体" w:eastAsia="方正仿宋_GBK"/>
                <w:color w:val="000000"/>
                <w:sz w:val="32"/>
                <w:szCs w:val="32"/>
                <w:lang w:eastAsia="zh-CN"/>
              </w:rPr>
            </w:pPr>
            <w:r>
              <w:rPr>
                <w:rFonts w:ascii="Times New Roman" w:hAnsi="Times New Roman" w:eastAsia="方正仿宋_GBK"/>
                <w:color w:val="000000"/>
                <w:sz w:val="32"/>
                <w:szCs w:val="32"/>
              </w:rPr>
              <w:t>开州司文〔202</w:t>
            </w:r>
            <w:r>
              <w:rPr>
                <w:rFonts w:hint="eastAsia" w:ascii="Times New Roman" w:hAnsi="Times New Roman" w:eastAsia="方正仿宋_GBK"/>
                <w:color w:val="000000"/>
                <w:sz w:val="32"/>
                <w:szCs w:val="32"/>
                <w:lang w:val="en-US" w:eastAsia="zh-CN"/>
              </w:rPr>
              <w:t>6</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7</w:t>
            </w:r>
            <w:r>
              <w:rPr>
                <w:rFonts w:ascii="Times New Roman" w:hAnsi="Times New Roman" w:eastAsia="方正仿宋_GBK"/>
                <w:color w:val="000000"/>
                <w:sz w:val="32"/>
                <w:szCs w:val="32"/>
              </w:rPr>
              <w:t xml:space="preserve">号            </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签发人：</w:t>
            </w:r>
            <w:r>
              <w:rPr>
                <w:rFonts w:hint="eastAsia" w:ascii="方正楷体_GBK" w:hAnsi="方正楷体_GBK" w:eastAsia="方正楷体_GBK" w:cs="方正楷体_GBK"/>
                <w:color w:val="000000"/>
                <w:sz w:val="32"/>
                <w:szCs w:val="32"/>
                <w:lang w:val="en-US" w:eastAsia="zh-CN"/>
              </w:rPr>
              <w:t>雷平</w:t>
            </w:r>
          </w:p>
          <w:p w14:paraId="63D47B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color w:val="000000"/>
              </w:rPr>
            </w:pPr>
          </w:p>
          <w:p w14:paraId="15658260"/>
          <w:p w14:paraId="20DA3A29">
            <w:pPr>
              <w:spacing w:line="540" w:lineRule="exact"/>
              <w:jc w:val="center"/>
              <w:rPr>
                <w:rFonts w:ascii="方正仿宋_GBK" w:eastAsia="方正仿宋_GBK"/>
                <w:color w:val="FF3300"/>
                <w:sz w:val="52"/>
                <w:szCs w:val="52"/>
              </w:rPr>
            </w:pPr>
          </w:p>
        </w:tc>
      </w:tr>
    </w:tbl>
    <w:p w14:paraId="6996B715">
      <w:pPr>
        <w:pStyle w:val="4"/>
        <w:spacing w:line="620" w:lineRule="exact"/>
        <w:ind w:firstLine="0" w:firstLineChars="0"/>
        <w:jc w:val="center"/>
        <w:rPr>
          <w:rFonts w:ascii="Times New Roman" w:hAnsi="Times New Roman" w:eastAsia="方正小标宋_GBK"/>
          <w:color w:val="000000"/>
          <w:sz w:val="44"/>
          <w:szCs w:val="44"/>
          <w:highlight w:val="none"/>
        </w:rPr>
      </w:pPr>
      <w:r>
        <w:rPr>
          <w:rFonts w:hint="eastAsia" w:ascii="Times New Roman" w:hAnsi="Times New Roman" w:eastAsia="方正小标宋_GBK" w:cs="方正小标宋_GBK"/>
          <w:i w:val="0"/>
          <w:iCs w:val="0"/>
          <w:caps w:val="0"/>
          <w:color w:val="171A1D"/>
          <w:spacing w:val="0"/>
          <w:sz w:val="44"/>
          <w:szCs w:val="44"/>
          <w:shd w:val="clear" w:fill="FFFFFF"/>
          <w:lang w:val="en-US" w:eastAsia="zh-CN"/>
        </w:rPr>
        <w:t>重庆市开州区司法局</w:t>
      </w:r>
    </w:p>
    <w:p w14:paraId="3CB612E4">
      <w:pPr>
        <w:pStyle w:val="4"/>
        <w:spacing w:line="620" w:lineRule="exact"/>
        <w:ind w:firstLine="0" w:firstLineChars="0"/>
        <w:jc w:val="center"/>
        <w:rPr>
          <w:rFonts w:hint="default"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sz w:val="44"/>
          <w:szCs w:val="44"/>
          <w:highlight w:val="none"/>
        </w:rPr>
        <w:t>关于</w:t>
      </w:r>
      <w:r>
        <w:rPr>
          <w:rFonts w:ascii="Times New Roman" w:hAnsi="Times New Roman" w:eastAsia="方正小标宋_GBK"/>
          <w:color w:val="000000"/>
          <w:sz w:val="44"/>
          <w:szCs w:val="44"/>
          <w:highlight w:val="none"/>
        </w:rPr>
        <w:t>重庆市开州区</w:t>
      </w:r>
      <w:r>
        <w:rPr>
          <w:rFonts w:hint="eastAsia" w:ascii="Times New Roman" w:hAnsi="Times New Roman" w:eastAsia="方正小标宋_GBK"/>
          <w:color w:val="000000"/>
          <w:sz w:val="44"/>
          <w:szCs w:val="44"/>
          <w:highlight w:val="none"/>
          <w:lang w:eastAsia="zh-CN"/>
        </w:rPr>
        <w:t>医患纠纷调解中心</w:t>
      </w:r>
      <w:r>
        <w:rPr>
          <w:rFonts w:hint="eastAsia" w:ascii="Times New Roman" w:hAnsi="Times New Roman" w:eastAsia="方正小标宋_GBK"/>
          <w:sz w:val="44"/>
          <w:szCs w:val="44"/>
          <w:highlight w:val="none"/>
          <w:lang w:val="en-US" w:eastAsia="zh-CN"/>
        </w:rPr>
        <w:t>2026</w:t>
      </w:r>
      <w:r>
        <w:rPr>
          <w:rFonts w:ascii="Times New Roman" w:hAnsi="Times New Roman" w:eastAsia="方正小标宋_GBK"/>
          <w:sz w:val="44"/>
          <w:szCs w:val="44"/>
          <w:highlight w:val="none"/>
        </w:rPr>
        <w:t>年部门预算情况公开的</w:t>
      </w:r>
      <w:r>
        <w:rPr>
          <w:rFonts w:hint="eastAsia" w:ascii="Times New Roman" w:hAnsi="Times New Roman" w:eastAsia="方正小标宋_GBK"/>
          <w:color w:val="auto"/>
          <w:sz w:val="44"/>
          <w:szCs w:val="44"/>
          <w:highlight w:val="none"/>
          <w:lang w:val="en-US" w:eastAsia="zh-CN"/>
        </w:rPr>
        <w:t>公告</w:t>
      </w:r>
    </w:p>
    <w:p w14:paraId="7360339F">
      <w:pPr>
        <w:spacing w:line="540" w:lineRule="exact"/>
        <w:jc w:val="left"/>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w:t>
      </w:r>
    </w:p>
    <w:p w14:paraId="2F7F6D3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sz w:val="32"/>
          <w:szCs w:val="32"/>
          <w:lang w:val="en-US" w:eastAsia="zh-CN"/>
        </w:rPr>
        <w:t>司法</w:t>
      </w:r>
      <w:r>
        <w:rPr>
          <w:rFonts w:hint="eastAsia" w:ascii="Times New Roman" w:hAnsi="Times New Roman" w:eastAsia="方正仿宋_GBK"/>
          <w:sz w:val="32"/>
          <w:szCs w:val="32"/>
        </w:rPr>
        <w:t>局</w:t>
      </w:r>
      <w:r>
        <w:rPr>
          <w:rFonts w:ascii="Times New Roman" w:hAnsi="Times New Roman" w:eastAsia="方正仿宋_GBK"/>
          <w:sz w:val="32"/>
          <w:szCs w:val="32"/>
        </w:rPr>
        <w:t>《关于批复</w:t>
      </w:r>
      <w:r>
        <w:rPr>
          <w:rFonts w:hint="eastAsia" w:ascii="Times New Roman" w:hAnsi="Times New Roman" w:eastAsia="方正仿宋_GBK"/>
          <w:sz w:val="32"/>
          <w:szCs w:val="32"/>
          <w:lang w:val="en-US" w:eastAsia="zh-CN"/>
        </w:rPr>
        <w:t>重庆市开州</w:t>
      </w:r>
      <w:r>
        <w:rPr>
          <w:rFonts w:hint="eastAsia" w:ascii="Times New Roman" w:hAnsi="Times New Roman" w:eastAsia="方正仿宋_GBK"/>
          <w:sz w:val="32"/>
          <w:szCs w:val="32"/>
          <w:lang w:eastAsia="zh-CN"/>
        </w:rPr>
        <w:t>区医患纠纷调解中心202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年预算的通知》</w:t>
      </w:r>
      <w:r>
        <w:rPr>
          <w:rFonts w:hint="default" w:ascii="Times New Roman" w:hAnsi="Times New Roman" w:eastAsia="方正仿宋_GBK" w:cs="Times New Roman"/>
          <w:sz w:val="32"/>
          <w:szCs w:val="32"/>
          <w:highlight w:val="none"/>
        </w:rPr>
        <w:t>（</w:t>
      </w:r>
      <w:r>
        <w:rPr>
          <w:rFonts w:ascii="Times New Roman" w:hAnsi="Times New Roman" w:eastAsia="方正仿宋_GBK" w:cs="Times New Roman"/>
          <w:color w:val="auto"/>
          <w:sz w:val="32"/>
          <w:szCs w:val="34"/>
        </w:rPr>
        <w:t>开州司</w:t>
      </w:r>
      <w:r>
        <w:rPr>
          <w:rFonts w:hint="eastAsia" w:ascii="Times New Roman" w:hAnsi="Times New Roman" w:eastAsia="方正仿宋_GBK" w:cs="Times New Roman"/>
          <w:color w:val="auto"/>
          <w:sz w:val="32"/>
          <w:szCs w:val="34"/>
          <w:lang w:val="en-US" w:eastAsia="zh-CN"/>
        </w:rPr>
        <w:t>发</w:t>
      </w:r>
      <w:r>
        <w:rPr>
          <w:rFonts w:ascii="Times New Roman" w:hAnsi="Times New Roman" w:eastAsia="方正仿宋_GBK" w:cs="Times New Roman"/>
          <w:sz w:val="32"/>
          <w:szCs w:val="34"/>
        </w:rPr>
        <w:t>〔202</w:t>
      </w:r>
      <w:r>
        <w:rPr>
          <w:rFonts w:hint="eastAsia" w:ascii="Times New Roman" w:hAnsi="Times New Roman" w:eastAsia="方正仿宋_GBK" w:cs="Times New Roman"/>
          <w:sz w:val="32"/>
          <w:szCs w:val="34"/>
          <w:lang w:val="en-US" w:eastAsia="zh-CN"/>
        </w:rPr>
        <w:t>6</w:t>
      </w:r>
      <w:r>
        <w:rPr>
          <w:rFonts w:ascii="Times New Roman" w:hAnsi="Times New Roman" w:eastAsia="方正仿宋_GBK" w:cs="Times New Roman"/>
          <w:sz w:val="32"/>
          <w:szCs w:val="34"/>
        </w:rPr>
        <w:t>〕</w:t>
      </w:r>
      <w:r>
        <w:rPr>
          <w:rFonts w:hint="eastAsia" w:ascii="Times New Roman" w:hAnsi="Times New Roman" w:eastAsia="方正仿宋_GBK" w:cs="Times New Roman"/>
          <w:sz w:val="32"/>
          <w:szCs w:val="34"/>
          <w:lang w:val="en-US" w:eastAsia="zh-CN"/>
        </w:rPr>
        <w:t>5</w:t>
      </w:r>
      <w:r>
        <w:rPr>
          <w:rFonts w:ascii="Times New Roman" w:hAnsi="Times New Roman" w:eastAsia="方正仿宋_GBK" w:cs="Times New Roman"/>
          <w:sz w:val="32"/>
          <w:szCs w:val="34"/>
        </w:rPr>
        <w:t>号</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0657FE4C">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76FA8121">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62517AC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5756B564">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6A7CC6D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4F05503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4A3BBB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cs="Times New Roman"/>
          <w:highlight w:val="none"/>
        </w:rPr>
      </w:pPr>
    </w:p>
    <w:p w14:paraId="5081BB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A2E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2F15B3D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45918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四、</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经费情况说明</w:t>
      </w:r>
    </w:p>
    <w:p w14:paraId="557684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01E17D0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0E1899C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Times New Roman" w:hAnsi="Times New Roman" w:eastAsia="方正楷体_GBK" w:cs="Times New Roman"/>
          <w:sz w:val="32"/>
          <w:szCs w:val="32"/>
          <w:highlight w:val="none"/>
        </w:rPr>
      </w:pPr>
    </w:p>
    <w:p w14:paraId="40FCAE1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59D69E9B">
      <w:pPr>
        <w:keepNext w:val="0"/>
        <w:keepLines w:val="0"/>
        <w:pageBreakBefore w:val="0"/>
        <w:widowControl w:val="0"/>
        <w:kinsoku/>
        <w:wordWrap/>
        <w:overflowPunct/>
        <w:topLinePunct w:val="0"/>
        <w:autoSpaceDE/>
        <w:autoSpaceDN/>
        <w:bidi w:val="0"/>
        <w:adjustRightInd/>
        <w:snapToGrid/>
        <w:spacing w:line="600" w:lineRule="exact"/>
        <w:ind w:left="0" w:firstLine="420" w:firstLineChars="200"/>
        <w:textAlignment w:val="auto"/>
        <w:rPr>
          <w:rFonts w:hint="default" w:ascii="Times New Roman" w:hAnsi="Times New Roman" w:cs="Times New Roman"/>
          <w:highlight w:val="none"/>
        </w:rPr>
      </w:pPr>
    </w:p>
    <w:p w14:paraId="7375279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收支预算总表</w:t>
      </w:r>
    </w:p>
    <w:p w14:paraId="29502B3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收入总表</w:t>
      </w:r>
    </w:p>
    <w:p w14:paraId="5C6560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本年支出预算总表</w:t>
      </w:r>
    </w:p>
    <w:p w14:paraId="40799F82">
      <w:pPr>
        <w:keepNext w:val="0"/>
        <w:keepLines w:val="0"/>
        <w:pageBreakBefore w:val="0"/>
        <w:widowControl w:val="0"/>
        <w:kinsoku/>
        <w:wordWrap/>
        <w:overflowPunct/>
        <w:topLinePunct w:val="0"/>
        <w:autoSpaceDE/>
        <w:autoSpaceDN/>
        <w:bidi w:val="0"/>
        <w:adjustRightInd/>
        <w:snapToGrid/>
        <w:spacing w:line="600" w:lineRule="exact"/>
        <w:ind w:left="0" w:firstLine="616" w:firstLineChars="200"/>
        <w:textAlignment w:val="auto"/>
        <w:rPr>
          <w:rFonts w:hint="default" w:ascii="Times New Roman" w:hAnsi="Times New Roman" w:eastAsia="方正仿宋_GBK" w:cs="Times New Roman"/>
          <w:spacing w:val="-6"/>
          <w:sz w:val="32"/>
          <w:szCs w:val="32"/>
          <w:highlight w:val="none"/>
        </w:rPr>
      </w:pPr>
      <w:r>
        <w:rPr>
          <w:rFonts w:hint="default" w:ascii="Times New Roman" w:hAnsi="Times New Roman" w:eastAsia="方正仿宋_GBK" w:cs="Times New Roman"/>
          <w:spacing w:val="-6"/>
          <w:sz w:val="32"/>
          <w:szCs w:val="32"/>
          <w:highlight w:val="none"/>
        </w:rPr>
        <w:t>表4、</w:t>
      </w:r>
      <w:r>
        <w:rPr>
          <w:rFonts w:hint="eastAsia" w:ascii="Times New Roman" w:hAnsi="Times New Roman" w:eastAsia="方正仿宋_GBK" w:cs="Times New Roman"/>
          <w:spacing w:val="-6"/>
          <w:sz w:val="32"/>
          <w:szCs w:val="32"/>
          <w:highlight w:val="none"/>
          <w:lang w:eastAsia="zh-CN"/>
        </w:rPr>
        <w:t>重庆市开州区医患纠纷调解中心</w:t>
      </w:r>
      <w:r>
        <w:rPr>
          <w:rFonts w:hint="default" w:ascii="Times New Roman" w:hAnsi="Times New Roman" w:eastAsia="方正仿宋_GBK" w:cs="Times New Roman"/>
          <w:spacing w:val="-6"/>
          <w:sz w:val="32"/>
          <w:szCs w:val="32"/>
          <w:highlight w:val="none"/>
        </w:rPr>
        <w:t>财政拨款收支预算总表</w:t>
      </w:r>
    </w:p>
    <w:p w14:paraId="0B8775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本年一般公共预算支出预算表</w:t>
      </w:r>
    </w:p>
    <w:p w14:paraId="32E887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一般公共预算基本支出预算表</w:t>
      </w:r>
    </w:p>
    <w:p w14:paraId="49CB3E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一般公共预算</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14:paraId="1F2A9F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政府性基金预算支出预算表</w:t>
      </w:r>
    </w:p>
    <w:p w14:paraId="4D462EC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国有资本经营预算支出预算表</w:t>
      </w:r>
    </w:p>
    <w:p w14:paraId="00ED5E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项目支出表</w:t>
      </w:r>
    </w:p>
    <w:p w14:paraId="205438C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rPr>
        <w:t>项目绩效目标表</w:t>
      </w:r>
    </w:p>
    <w:p w14:paraId="28F9D8A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182CAAB">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4D62FF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0E0FCE7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楷体_GBK"/>
          <w:color w:val="auto"/>
          <w:sz w:val="32"/>
        </w:rPr>
      </w:pPr>
      <w:r>
        <w:rPr>
          <w:rFonts w:hint="eastAsia" w:ascii="Times New Roman" w:hAnsi="Times New Roman" w:eastAsia="方正楷体_GBK"/>
          <w:color w:val="auto"/>
          <w:sz w:val="32"/>
        </w:rPr>
        <w:t>（一）职能职责</w:t>
      </w:r>
    </w:p>
    <w:p w14:paraId="01B4B46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color w:val="auto"/>
          <w:sz w:val="32"/>
          <w:lang w:val="en-US" w:eastAsia="zh-CN"/>
        </w:rPr>
      </w:pPr>
      <w:r>
        <w:rPr>
          <w:rFonts w:hint="eastAsia" w:ascii="Times New Roman" w:hAnsi="Times New Roman" w:eastAsia="方正仿宋_GBK"/>
          <w:color w:val="auto"/>
          <w:sz w:val="32"/>
          <w:lang w:val="en-US" w:eastAsia="zh-CN"/>
        </w:rPr>
        <w:t>1．对全区医疗机构发生的医患纠纷实行免费咨询、免费受理、免费调解。</w:t>
      </w:r>
    </w:p>
    <w:p w14:paraId="09B92C4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color w:val="auto"/>
          <w:sz w:val="32"/>
          <w:lang w:val="en-US" w:eastAsia="zh-CN"/>
        </w:rPr>
      </w:pPr>
      <w:r>
        <w:rPr>
          <w:rFonts w:hint="eastAsia" w:ascii="Times New Roman" w:hAnsi="Times New Roman" w:eastAsia="方正仿宋_GBK"/>
          <w:color w:val="auto"/>
          <w:sz w:val="32"/>
          <w:lang w:val="en-US" w:eastAsia="zh-CN"/>
        </w:rPr>
        <w:t>2．参与联动机制处置医闹，维护正常医疗秩序。</w:t>
      </w:r>
    </w:p>
    <w:p w14:paraId="31D7D8E2">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color w:val="auto"/>
          <w:sz w:val="32"/>
          <w:lang w:val="en-US" w:eastAsia="zh-CN"/>
        </w:rPr>
      </w:pPr>
      <w:r>
        <w:rPr>
          <w:rFonts w:hint="eastAsia" w:ascii="Times New Roman" w:hAnsi="Times New Roman" w:eastAsia="方正仿宋_GBK"/>
          <w:color w:val="auto"/>
          <w:sz w:val="32"/>
          <w:lang w:val="en-US" w:eastAsia="zh-CN"/>
        </w:rPr>
        <w:t>3．根据医患双方一方申请，组织医学、法学专家咨询委员会的专家进行会诊并出具专家意见书，为调解提供咨询意见。</w:t>
      </w:r>
    </w:p>
    <w:p w14:paraId="4AE74712">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color w:val="auto"/>
          <w:sz w:val="32"/>
          <w:lang w:val="en-US" w:eastAsia="zh-CN"/>
        </w:rPr>
      </w:pPr>
      <w:r>
        <w:rPr>
          <w:rFonts w:hint="eastAsia" w:ascii="Times New Roman" w:hAnsi="Times New Roman" w:eastAsia="方正仿宋_GBK"/>
          <w:color w:val="auto"/>
          <w:sz w:val="32"/>
          <w:lang w:val="en-US" w:eastAsia="zh-CN"/>
        </w:rPr>
        <w:t>4．对需要进行尸检、医疗损害鉴定的医患纠纷，告知双方当事人可以共同委托具有鉴定资格的机构依法鉴定。</w:t>
      </w:r>
    </w:p>
    <w:p w14:paraId="29FB0263">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方正仿宋_GBK"/>
          <w:color w:val="auto"/>
          <w:sz w:val="32"/>
          <w:lang w:val="en-US" w:eastAsia="zh-CN"/>
        </w:rPr>
      </w:pPr>
      <w:r>
        <w:rPr>
          <w:rFonts w:hint="eastAsia" w:ascii="Times New Roman" w:hAnsi="Times New Roman" w:eastAsia="方正仿宋_GBK"/>
          <w:color w:val="auto"/>
          <w:sz w:val="32"/>
          <w:lang w:val="en-US" w:eastAsia="zh-CN"/>
        </w:rPr>
        <w:t>5．指导协助各级医疗机构做好医患纠纷预防和调解工作，向医疗机构提出防范医疗纠纷的意见、建议。</w:t>
      </w:r>
    </w:p>
    <w:p w14:paraId="10690AC8">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方正楷体_GBK"/>
          <w:color w:val="auto"/>
          <w:sz w:val="32"/>
        </w:rPr>
      </w:pPr>
      <w:r>
        <w:rPr>
          <w:rFonts w:hint="eastAsia" w:ascii="Times New Roman" w:hAnsi="Times New Roman" w:eastAsia="方正楷体_GBK"/>
          <w:color w:val="auto"/>
          <w:sz w:val="32"/>
        </w:rPr>
        <w:t>（二）单位构成</w:t>
      </w:r>
    </w:p>
    <w:p w14:paraId="0E4AC77C">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ascii="Times New Roman" w:hAnsi="Times New Roman" w:eastAsia="方正仿宋_GBK"/>
          <w:sz w:val="32"/>
        </w:rPr>
      </w:pPr>
      <w:r>
        <w:rPr>
          <w:rFonts w:hint="eastAsia" w:ascii="Times New Roman" w:hAnsi="Times New Roman" w:eastAsia="方正仿宋_GBK"/>
          <w:color w:val="auto"/>
          <w:sz w:val="32"/>
          <w:lang w:val="en-US" w:eastAsia="zh-CN"/>
        </w:rPr>
        <w:t>重庆市开州区医患纠纷调解中心设有事业编制12名，领导职数2名，其中主任1名，副主任1名</w:t>
      </w:r>
      <w:r>
        <w:rPr>
          <w:rFonts w:ascii="Times New Roman" w:hAnsi="Times New Roman" w:eastAsia="方正仿宋_GBK"/>
          <w:color w:val="auto"/>
          <w:sz w:val="32"/>
        </w:rPr>
        <w:t>。</w:t>
      </w:r>
    </w:p>
    <w:p w14:paraId="1BA2AEE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09AF40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年年初预算数217.55万元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217.55万元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w:t>
      </w:r>
      <w:r>
        <w:rPr>
          <w:rFonts w:hint="eastAsia" w:ascii="Times New Roman" w:hAnsi="Times New Roman" w:eastAsia="方正仿宋_GBK" w:cs="Times New Roman"/>
          <w:sz w:val="32"/>
          <w:highlight w:val="none"/>
          <w:lang w:val="en-US" w:eastAsia="zh-CN"/>
        </w:rPr>
        <w:t>元</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减少6.3</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主要原因是人员减少1名</w:t>
      </w:r>
      <w:r>
        <w:rPr>
          <w:rFonts w:ascii="Times New Roman" w:hAnsi="Times New Roman" w:eastAsia="方正仿宋_GBK"/>
          <w:sz w:val="32"/>
          <w:highlight w:val="none"/>
        </w:rPr>
        <w:t>。</w:t>
      </w:r>
    </w:p>
    <w:p w14:paraId="1F3F4BC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年年初预算数217.55万元，其中：</w:t>
      </w:r>
      <w:r>
        <w:rPr>
          <w:rFonts w:hint="eastAsia" w:ascii="Times New Roman" w:hAnsi="Times New Roman" w:eastAsia="方正仿宋_GBK"/>
          <w:sz w:val="32"/>
        </w:rPr>
        <w:t>公共安全支出167.56</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社会保障和就业支出预算</w:t>
      </w:r>
      <w:r>
        <w:rPr>
          <w:rFonts w:hint="eastAsia" w:ascii="Times New Roman" w:hAnsi="Times New Roman" w:eastAsia="方正仿宋_GBK"/>
          <w:sz w:val="32"/>
        </w:rPr>
        <w:t>29.31</w:t>
      </w:r>
      <w:r>
        <w:rPr>
          <w:rFonts w:ascii="Times New Roman" w:hAnsi="Times New Roman" w:eastAsia="方正仿宋_GBK"/>
          <w:sz w:val="32"/>
        </w:rPr>
        <w:t>万元，卫生健康支出预算</w:t>
      </w:r>
      <w:r>
        <w:rPr>
          <w:rFonts w:hint="eastAsia" w:ascii="Times New Roman" w:hAnsi="Times New Roman" w:eastAsia="方正仿宋_GBK"/>
          <w:sz w:val="32"/>
        </w:rPr>
        <w:t>10.42</w:t>
      </w:r>
      <w:r>
        <w:rPr>
          <w:rFonts w:ascii="Times New Roman" w:hAnsi="Times New Roman" w:eastAsia="方正仿宋_GBK"/>
          <w:sz w:val="32"/>
        </w:rPr>
        <w:t>万元，住房保障支出预算</w:t>
      </w:r>
      <w:r>
        <w:rPr>
          <w:rFonts w:hint="eastAsia" w:ascii="Times New Roman" w:hAnsi="Times New Roman" w:eastAsia="方正仿宋_GBK"/>
          <w:sz w:val="32"/>
        </w:rPr>
        <w:t>10.27</w:t>
      </w:r>
      <w:r>
        <w:rPr>
          <w:rFonts w:ascii="Times New Roman" w:hAnsi="Times New Roman" w:eastAsia="方正仿宋_GBK"/>
          <w:sz w:val="32"/>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减少6.2</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人员减少1名</w:t>
      </w:r>
      <w:r>
        <w:rPr>
          <w:rFonts w:ascii="Times New Roman" w:hAnsi="Times New Roman" w:eastAsia="方正仿宋_GBK"/>
          <w:sz w:val="32"/>
          <w:highlight w:val="none"/>
        </w:rPr>
        <w:t>。</w:t>
      </w:r>
    </w:p>
    <w:p w14:paraId="294D8B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46480A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 217.55 万元，一般公共预算财政拨款支出217.55 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减少6.2</w:t>
      </w:r>
      <w:r>
        <w:rPr>
          <w:rFonts w:hint="default" w:ascii="Times New Roman" w:hAnsi="Times New Roman" w:eastAsia="方正仿宋_GBK" w:cs="Times New Roman"/>
          <w:sz w:val="32"/>
          <w:highlight w:val="none"/>
        </w:rPr>
        <w:t>万元。其中：基本支出217.55万元，比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减少6.2</w:t>
      </w:r>
      <w:r>
        <w:rPr>
          <w:rFonts w:hint="default" w:ascii="Times New Roman" w:hAnsi="Times New Roman" w:eastAsia="方正仿宋_GBK" w:cs="Times New Roman"/>
          <w:sz w:val="32"/>
          <w:highlight w:val="none"/>
        </w:rPr>
        <w:t>万元，</w:t>
      </w:r>
      <w:r>
        <w:rPr>
          <w:rFonts w:hint="eastAsia" w:ascii="Times New Roman" w:hAnsi="Times New Roman" w:eastAsia="方正仿宋_GBK"/>
          <w:sz w:val="32"/>
          <w:lang w:val="en-US" w:eastAsia="zh-CN"/>
        </w:rPr>
        <w:t>2025年</w:t>
      </w:r>
      <w:r>
        <w:rPr>
          <w:rFonts w:hint="eastAsia" w:ascii="Times New Roman" w:hAnsi="Times New Roman" w:eastAsia="方正仿宋_GBK" w:cs="Times New Roman"/>
          <w:sz w:val="32"/>
          <w:highlight w:val="none"/>
          <w:lang w:val="en-US" w:eastAsia="zh-CN"/>
        </w:rPr>
        <w:t>人员减少1名，</w:t>
      </w:r>
      <w:r>
        <w:rPr>
          <w:rFonts w:hint="eastAsia" w:ascii="Times New Roman" w:hAnsi="Times New Roman" w:eastAsia="方正仿宋_GBK"/>
          <w:sz w:val="32"/>
          <w:lang w:val="en-US" w:eastAsia="zh-CN"/>
        </w:rPr>
        <w:t>人员正常工资及相应社保费用减少，</w:t>
      </w:r>
      <w:r>
        <w:rPr>
          <w:rFonts w:ascii="Times New Roman" w:hAnsi="Times New Roman" w:eastAsia="方正仿宋_GBK"/>
          <w:sz w:val="32"/>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highlight w:val="none"/>
        </w:rPr>
        <w:t>。</w:t>
      </w:r>
      <w:r>
        <w:rPr>
          <w:rFonts w:hint="eastAsia" w:ascii="Times New Roman" w:hAnsi="Times New Roman" w:eastAsia="方正仿宋_GBK"/>
          <w:sz w:val="32"/>
          <w:highlight w:val="none"/>
          <w:lang w:val="en-US" w:eastAsia="zh-CN"/>
        </w:rPr>
        <w:t>项目支出0万元。</w:t>
      </w:r>
    </w:p>
    <w:p w14:paraId="317291E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重庆市开州区医患纠纷调解中心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6609A5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三公</w:t>
      </w:r>
      <w:r>
        <w:rPr>
          <w:rFonts w:hint="eastAsia" w:ascii="Times New Roman" w:hAnsi="Times New Roman" w:eastAsia="方正黑体_GBK" w:cs="Times New Roman"/>
          <w:sz w:val="32"/>
          <w:highlight w:val="none"/>
          <w:lang w:eastAsia="zh-CN"/>
        </w:rPr>
        <w:t>”</w:t>
      </w:r>
      <w:r>
        <w:rPr>
          <w:rFonts w:hint="default" w:ascii="Times New Roman" w:hAnsi="Times New Roman" w:eastAsia="方正黑体_GBK" w:cs="Times New Roman"/>
          <w:sz w:val="32"/>
          <w:highlight w:val="none"/>
        </w:rPr>
        <w:t>经费情况说明</w:t>
      </w:r>
    </w:p>
    <w:p w14:paraId="5877EC52">
      <w:pPr>
        <w:keepNext w:val="0"/>
        <w:keepLines w:val="0"/>
        <w:pageBreakBefore w:val="0"/>
        <w:widowControl w:val="0"/>
        <w:kinsoku/>
        <w:wordWrap/>
        <w:overflowPunct/>
        <w:topLinePunct w:val="0"/>
        <w:autoSpaceDE/>
        <w:autoSpaceDN/>
        <w:bidi w:val="0"/>
        <w:adjustRightInd/>
        <w:snapToGrid/>
        <w:spacing w:line="60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经费预算</w:t>
      </w:r>
      <w:r>
        <w:rPr>
          <w:rFonts w:hint="eastAsia" w:ascii="Times New Roman" w:hAnsi="Times New Roman" w:eastAsia="方正仿宋_GBK" w:cs="Times New Roman"/>
          <w:sz w:val="32"/>
          <w:highlight w:val="none"/>
          <w:lang w:val="en-US" w:eastAsia="zh-CN"/>
        </w:rPr>
        <w:t>0.3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w:t>
      </w:r>
      <w:r>
        <w:rPr>
          <w:rFonts w:hint="default" w:ascii="Times New Roman" w:hAnsi="Times New Roman" w:eastAsia="方正仿宋_GBK" w:cs="Times New Roman"/>
          <w:sz w:val="32"/>
          <w:highlight w:val="none"/>
        </w:rPr>
        <w:t xml:space="preserve"> </w:t>
      </w:r>
      <w:r>
        <w:rPr>
          <w:rFonts w:hint="eastAsia" w:ascii="Times New Roman" w:hAnsi="Times New Roman" w:eastAsia="方正仿宋_GBK" w:cs="Times New Roman"/>
          <w:sz w:val="32"/>
          <w:highlight w:val="none"/>
          <w:lang w:val="en-US" w:eastAsia="zh-CN"/>
        </w:rPr>
        <w:t>0.4</w:t>
      </w:r>
      <w:r>
        <w:rPr>
          <w:rFonts w:hint="default" w:ascii="Times New Roman" w:hAnsi="Times New Roman" w:eastAsia="方正仿宋_GBK" w:cs="Times New Roman"/>
          <w:sz w:val="32"/>
          <w:highlight w:val="none"/>
        </w:rPr>
        <w:t xml:space="preserve"> 万元。其中：因公出国（境）费用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 xml:space="preserve">年增加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万元；公务接待费</w:t>
      </w:r>
      <w:r>
        <w:rPr>
          <w:rFonts w:hint="eastAsia" w:ascii="Times New Roman" w:hAnsi="Times New Roman" w:eastAsia="方正仿宋_GBK" w:cs="Times New Roman"/>
          <w:sz w:val="32"/>
          <w:highlight w:val="none"/>
          <w:lang w:val="en-US" w:eastAsia="zh-CN"/>
        </w:rPr>
        <w:t>0.3</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持平</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减少0.4</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重庆市开州区医患纠纷调解中心无公务用车编制</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5645009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05AC70E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rPr>
      </w:pP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一）</w:t>
      </w:r>
      <w:r>
        <w:rPr>
          <w:rFonts w:hint="eastAsia" w:ascii="方正楷体_GBK" w:hAnsi="方正楷体_GBK" w:eastAsia="方正楷体_GBK" w:cs="方正楷体_GBK"/>
          <w:sz w:val="32"/>
          <w:szCs w:val="32"/>
          <w:highlight w:val="none"/>
        </w:rPr>
        <w:t>我单位不在机关运行经费统计范围之内。</w:t>
      </w:r>
    </w:p>
    <w:p w14:paraId="526033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0DCA93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w:t>
      </w:r>
      <w:r>
        <w:rPr>
          <w:rFonts w:hint="eastAsia" w:ascii="Times New Roman" w:hAnsi="Times New Roman" w:eastAsia="仿宋" w:cs="仿宋"/>
          <w:color w:val="000000"/>
          <w:sz w:val="32"/>
          <w:lang w:val="en-US" w:eastAsia="zh-CN"/>
        </w:rPr>
        <w:t>初预算无</w:t>
      </w:r>
      <w:r>
        <w:rPr>
          <w:rFonts w:hint="eastAsia" w:ascii="Times New Roman" w:hAnsi="Times New Roman" w:eastAsia="仿宋" w:cs="仿宋"/>
          <w:color w:val="000000"/>
          <w:sz w:val="32"/>
        </w:rPr>
        <w:t>项目支出</w:t>
      </w:r>
      <w:r>
        <w:rPr>
          <w:rFonts w:hint="eastAsia" w:ascii="Times New Roman" w:hAnsi="Times New Roman" w:eastAsia="仿宋" w:cs="仿宋"/>
          <w:color w:val="000000"/>
          <w:sz w:val="32"/>
          <w:lang w:eastAsia="zh-CN"/>
        </w:rPr>
        <w:t>，</w:t>
      </w:r>
      <w:r>
        <w:rPr>
          <w:rFonts w:hint="eastAsia" w:ascii="Times New Roman" w:hAnsi="Times New Roman" w:eastAsia="仿宋" w:cs="仿宋"/>
          <w:sz w:val="32"/>
          <w:lang w:val="en-US" w:eastAsia="zh-CN"/>
        </w:rPr>
        <w:t>无项目</w:t>
      </w:r>
      <w:r>
        <w:rPr>
          <w:rFonts w:hint="eastAsia" w:ascii="Times New Roman" w:hAnsi="Times New Roman" w:eastAsia="仿宋" w:cs="仿宋"/>
          <w:sz w:val="32"/>
        </w:rPr>
        <w:t>绩效目标管理</w:t>
      </w:r>
      <w:r>
        <w:rPr>
          <w:rFonts w:hint="eastAsia" w:ascii="Times New Roman" w:hAnsi="Times New Roman" w:eastAsia="仿宋" w:cs="仿宋"/>
          <w:color w:val="000000"/>
          <w:sz w:val="32"/>
        </w:rPr>
        <w:t>，涉及一般公共预算当年财政拨款</w:t>
      </w:r>
      <w:r>
        <w:rPr>
          <w:rFonts w:hint="eastAsia" w:ascii="Times New Roman" w:hAnsi="Times New Roman" w:eastAsia="仿宋" w:cs="仿宋"/>
          <w:color w:val="000000"/>
          <w:sz w:val="32"/>
          <w:lang w:val="en-US" w:eastAsia="zh-CN"/>
        </w:rPr>
        <w:t>0</w:t>
      </w:r>
      <w:r>
        <w:rPr>
          <w:rFonts w:hint="eastAsia" w:ascii="Times New Roman" w:hAnsi="Times New Roman" w:eastAsia="仿宋" w:cs="仿宋"/>
          <w:color w:val="000000"/>
          <w:sz w:val="32"/>
        </w:rPr>
        <w:t>万元。</w:t>
      </w:r>
    </w:p>
    <w:p w14:paraId="5FEBCC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w:t>
      </w:r>
      <w:r>
        <w:rPr>
          <w:rFonts w:hint="eastAsia" w:ascii="Times New Roman" w:hAnsi="Times New Roman" w:eastAsia="方正仿宋_GBK" w:cs="仿宋_GB2312"/>
          <w:color w:val="000000"/>
          <w:sz w:val="32"/>
          <w:lang w:val="en-US" w:eastAsia="zh-CN"/>
        </w:rPr>
        <w:t>应急保障用车0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6DB6767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7878EF5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E7222DD">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14:paraId="5EF4D90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7F1EE37">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D2618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1AB670">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方正小标宋_GBK" w:cs="Times New Roman"/>
          <w:sz w:val="44"/>
          <w:szCs w:val="44"/>
          <w:highlight w:val="none"/>
        </w:rPr>
      </w:pPr>
    </w:p>
    <w:p w14:paraId="3ADE6E34">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33C1A857">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0860D46C">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65C2BA61">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12DED239">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6931643D">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20F5124">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413ED0F">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272ADFD">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6BD75201">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063783F7">
      <w:pPr>
        <w:keepNext w:val="0"/>
        <w:keepLines w:val="0"/>
        <w:pageBreakBefore w:val="0"/>
        <w:widowControl w:val="0"/>
        <w:kinsoku/>
        <w:wordWrap/>
        <w:overflowPunct/>
        <w:topLinePunct w:val="0"/>
        <w:autoSpaceDE/>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C4799F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p>
    <w:p w14:paraId="4620386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重庆市开州区医患纠纷调解中心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3373C3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924B78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部门预算公开联系人：</w:t>
      </w:r>
      <w:r>
        <w:rPr>
          <w:rFonts w:hint="eastAsia" w:ascii="Times New Roman" w:hAnsi="Times New Roman" w:eastAsia="方正仿宋_GBK" w:cs="Times New Roman"/>
          <w:sz w:val="32"/>
          <w:szCs w:val="32"/>
          <w:highlight w:val="none"/>
          <w:lang w:val="en-US" w:eastAsia="zh-CN"/>
        </w:rPr>
        <w:t>罗兴婧</w:t>
      </w:r>
      <w:r>
        <w:rPr>
          <w:rFonts w:hint="default" w:ascii="Times New Roman" w:hAnsi="Times New Roman" w:eastAsia="方正仿宋_GBK" w:cs="Times New Roman"/>
          <w:sz w:val="32"/>
          <w:szCs w:val="32"/>
          <w:highlight w:val="none"/>
          <w:lang w:val="en-US" w:eastAsia="zh-CN"/>
        </w:rPr>
        <w:t xml:space="preserve">  </w:t>
      </w:r>
    </w:p>
    <w:p w14:paraId="48BDFC0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联系方式：023-</w:t>
      </w:r>
      <w:r>
        <w:rPr>
          <w:rFonts w:hint="eastAsia" w:ascii="Times New Roman" w:hAnsi="Times New Roman" w:eastAsia="方正仿宋_GBK" w:cs="Times New Roman"/>
          <w:sz w:val="32"/>
          <w:szCs w:val="32"/>
          <w:highlight w:val="none"/>
          <w:lang w:val="en-US" w:eastAsia="zh-CN"/>
        </w:rPr>
        <w:t>52218608</w:t>
      </w:r>
    </w:p>
    <w:p w14:paraId="4D2FA0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1CD4538">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重庆市开州区司法局</w:t>
      </w:r>
    </w:p>
    <w:p w14:paraId="5D4851D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日</w:t>
      </w:r>
    </w:p>
    <w:p w14:paraId="2A08BC2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35B5A77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65555EE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仿宋_GBK" w:cs="Times New Roman"/>
          <w:sz w:val="32"/>
          <w:szCs w:val="32"/>
          <w:highlight w:val="none"/>
        </w:rPr>
      </w:pPr>
    </w:p>
    <w:p w14:paraId="4AD33527">
      <w:pPr>
        <w:spacing w:line="640" w:lineRule="exact"/>
        <w:jc w:val="center"/>
        <w:rPr>
          <w:rFonts w:hint="default" w:ascii="Times New Roman" w:hAnsi="Times New Roman" w:eastAsia="方正仿宋_GBK" w:cs="Times New Roman"/>
          <w:sz w:val="32"/>
          <w:szCs w:val="32"/>
          <w:highlight w:val="none"/>
        </w:rPr>
      </w:pPr>
    </w:p>
    <w:p w14:paraId="3758D095">
      <w:pPr>
        <w:spacing w:line="560" w:lineRule="exact"/>
        <w:jc w:val="center"/>
        <w:rPr>
          <w:rFonts w:hint="default" w:ascii="Times New Roman" w:hAnsi="Times New Roman" w:eastAsia="方正仿宋_GBK" w:cs="Times New Roman"/>
          <w:sz w:val="32"/>
          <w:szCs w:val="32"/>
          <w:highlight w:val="none"/>
        </w:rPr>
      </w:pPr>
    </w:p>
    <w:p w14:paraId="7E5610F6">
      <w:pPr>
        <w:spacing w:line="640" w:lineRule="exact"/>
        <w:jc w:val="center"/>
        <w:rPr>
          <w:rFonts w:hint="default" w:ascii="Times New Roman" w:hAnsi="Times New Roman" w:eastAsia="方正仿宋_GBK" w:cs="Times New Roman"/>
          <w:sz w:val="32"/>
          <w:szCs w:val="32"/>
          <w:highlight w:val="none"/>
        </w:rPr>
      </w:pPr>
    </w:p>
    <w:p w14:paraId="29D8FB19">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1D336968">
      <w:pPr>
        <w:tabs>
          <w:tab w:val="left" w:pos="1440"/>
        </w:tabs>
        <w:spacing w:line="640" w:lineRule="exact"/>
        <w:rPr>
          <w:rFonts w:hint="default" w:ascii="Times New Roman" w:hAnsi="Times New Roman" w:eastAsia="方正仿宋_GBK" w:cs="Times New Roman"/>
          <w:sz w:val="32"/>
          <w:szCs w:val="32"/>
          <w:highlight w:val="none"/>
        </w:rPr>
      </w:pPr>
    </w:p>
    <w:p w14:paraId="6D89C62C">
      <w:pPr>
        <w:tabs>
          <w:tab w:val="left" w:pos="1440"/>
        </w:tabs>
        <w:spacing w:line="640" w:lineRule="exact"/>
        <w:rPr>
          <w:rFonts w:hint="default" w:ascii="Times New Roman" w:hAnsi="Times New Roman" w:eastAsia="方正仿宋_GBK" w:cs="Times New Roman"/>
          <w:sz w:val="32"/>
          <w:szCs w:val="32"/>
          <w:highlight w:val="none"/>
        </w:rPr>
      </w:pPr>
    </w:p>
    <w:p w14:paraId="69CED8F7">
      <w:pPr>
        <w:tabs>
          <w:tab w:val="left" w:pos="1440"/>
        </w:tabs>
        <w:spacing w:line="640" w:lineRule="exact"/>
        <w:rPr>
          <w:rFonts w:hint="default" w:ascii="Times New Roman" w:hAnsi="Times New Roman" w:eastAsia="方正仿宋_GBK" w:cs="Times New Roman"/>
          <w:sz w:val="32"/>
          <w:szCs w:val="32"/>
          <w:highlight w:val="none"/>
        </w:rPr>
      </w:pPr>
    </w:p>
    <w:p w14:paraId="5B4D45AB">
      <w:pPr>
        <w:overflowPunct w:val="0"/>
        <w:spacing w:line="480" w:lineRule="exact"/>
        <w:ind w:firstLine="280" w:firstLineChars="1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0288;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eastAsia="zh-CN"/>
        </w:rPr>
        <w:t>重庆市开州区</w:t>
      </w:r>
      <w:r>
        <w:rPr>
          <w:rFonts w:hint="eastAsia" w:ascii="Times New Roman" w:hAnsi="Times New Roman" w:eastAsia="方正仿宋_GBK" w:cs="Times New Roman"/>
          <w:kern w:val="0"/>
          <w:sz w:val="28"/>
          <w:szCs w:val="28"/>
          <w:highlight w:val="none"/>
          <w:lang w:val="en-US" w:eastAsia="zh-CN"/>
        </w:rPr>
        <w:t>司法局</w:t>
      </w:r>
      <w:r>
        <w:rPr>
          <w:rFonts w:hint="default" w:ascii="Times New Roman" w:hAnsi="Times New Roman" w:eastAsia="方正仿宋_GBK" w:cs="Times New Roman"/>
          <w:kern w:val="0"/>
          <w:sz w:val="28"/>
          <w:szCs w:val="28"/>
          <w:highlight w:val="none"/>
        </w:rPr>
        <w:t xml:space="preserve">办公室          </w:t>
      </w:r>
      <w:r>
        <w:rPr>
          <w:rFonts w:hint="default" w:ascii="Times New Roman" w:hAnsi="Times New Roman" w:eastAsia="方正仿宋_GBK" w:cs="Times New Roman"/>
          <w:kern w:val="0"/>
          <w:sz w:val="28"/>
          <w:szCs w:val="28"/>
          <w:highlight w:val="none"/>
          <w:lang w:val="en-US" w:eastAsia="zh-CN"/>
        </w:rPr>
        <w:t xml:space="preserve"> </w:t>
      </w:r>
      <w:r>
        <w:rPr>
          <w:rFonts w:hint="eastAsia"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10</w:t>
      </w:r>
      <w:bookmarkStart w:id="0" w:name="_GoBack"/>
      <w:bookmarkEnd w:id="0"/>
      <w:r>
        <w:rPr>
          <w:rFonts w:hint="default" w:ascii="Times New Roman" w:hAnsi="Times New Roman" w:eastAsia="方正仿宋_GBK" w:cs="Times New Roman"/>
          <w:kern w:val="0"/>
          <w:sz w:val="28"/>
          <w:szCs w:val="28"/>
          <w:highlight w:val="none"/>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宋体-GB2312"/>
    <w:panose1 w:val="02020603050405020304"/>
    <w:charset w:val="7A"/>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ESI宋体-GB2312">
    <w:panose1 w:val="02000500000000000000"/>
    <w:charset w:val="86"/>
    <w:family w:val="auto"/>
    <w:pitch w:val="default"/>
    <w:sig w:usb0="800002AF" w:usb1="0847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CESI小标宋-GB13000"/>
    <w:panose1 w:val="02000000000000000000"/>
    <w:charset w:val="86"/>
    <w:family w:val="auto"/>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方正小标宋_GBK">
    <w:altName w:val="CESI小标宋-GB13000"/>
    <w:panose1 w:val="03000509000000000000"/>
    <w:charset w:val="86"/>
    <w:family w:val="auto"/>
    <w:pitch w:val="default"/>
    <w:sig w:usb0="00000000" w:usb1="00000000" w:usb2="00000000" w:usb3="00000000" w:csb0="00040000" w:csb1="00000000"/>
  </w:font>
  <w:font w:name="方正楷体_GBK">
    <w:altName w:val="CESI楷体-GB13000"/>
    <w:panose1 w:val="03000509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方正黑体_GBK">
    <w:altName w:val="CESI黑体-GB13000"/>
    <w:panose1 w:val="03000509000000000000"/>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仿宋">
    <w:altName w:val="方正仿宋_GBK"/>
    <w:panose1 w:val="02010609060101010101"/>
    <w:charset w:val="86"/>
    <w:family w:val="auto"/>
    <w:pitch w:val="default"/>
    <w:sig w:usb0="00000000" w:usb1="00000000" w:usb2="00000016" w:usb3="00000000" w:csb0="00040001"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1B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-402590</wp:posOffset>
              </wp:positionV>
              <wp:extent cx="651510" cy="5486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51510" cy="548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A865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1.7pt;height:43.2pt;width:51.3pt;mso-position-horizontal:outside;mso-position-horizontal-relative:margin;z-index:251659264;mso-width-relative:page;mso-height-relative:page;" filled="f" stroked="f" coordsize="21600,21600" o:gfxdata="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3S8jW1QAAAAcBAAAPAAAAAAAAAAEAIAAAACIAAABkcnMvZG93bnJldi54&#10;bWxQSwECFAAUAAAACACHTuJADUTA3jYCAABhBAAADgAAAAAAAAABACAAAAAkAQAAZHJzL2Uyb0Rv&#10;Yy54bWxQSwUGAAAAAAYABgBZAQAAzAUAAAAA&#10;">
              <v:fill on="f" focussize="0,0"/>
              <v:stroke on="f" weight="0.5pt"/>
              <v:imagedata o:title=""/>
              <o:lock v:ext="edit" aspectratio="f"/>
              <v:textbox inset="0mm,0mm,0mm,0mm">
                <w:txbxContent>
                  <w:p w14:paraId="41EA865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47CAD"/>
    <w:rsid w:val="016027F7"/>
    <w:rsid w:val="02FE31ED"/>
    <w:rsid w:val="03546191"/>
    <w:rsid w:val="08AB6853"/>
    <w:rsid w:val="09494D55"/>
    <w:rsid w:val="0A8637E6"/>
    <w:rsid w:val="0AB641F4"/>
    <w:rsid w:val="0AF8461B"/>
    <w:rsid w:val="0BEF27AA"/>
    <w:rsid w:val="0D330405"/>
    <w:rsid w:val="0D8458C4"/>
    <w:rsid w:val="108A4FA0"/>
    <w:rsid w:val="13051255"/>
    <w:rsid w:val="13980DFA"/>
    <w:rsid w:val="16105D1D"/>
    <w:rsid w:val="18845FDE"/>
    <w:rsid w:val="197873E6"/>
    <w:rsid w:val="1A0C4944"/>
    <w:rsid w:val="1A8B2040"/>
    <w:rsid w:val="1BC55077"/>
    <w:rsid w:val="1DB959D5"/>
    <w:rsid w:val="1F8578ED"/>
    <w:rsid w:val="1F9B373A"/>
    <w:rsid w:val="23AF4DD2"/>
    <w:rsid w:val="24BE34CC"/>
    <w:rsid w:val="25FC3382"/>
    <w:rsid w:val="26A34BB6"/>
    <w:rsid w:val="27902E1F"/>
    <w:rsid w:val="27C44CB6"/>
    <w:rsid w:val="27E234BC"/>
    <w:rsid w:val="286A6E9E"/>
    <w:rsid w:val="2B92022A"/>
    <w:rsid w:val="2FB30A8F"/>
    <w:rsid w:val="319F44BB"/>
    <w:rsid w:val="32CB52C2"/>
    <w:rsid w:val="34124EDB"/>
    <w:rsid w:val="34714E4F"/>
    <w:rsid w:val="34DB6618"/>
    <w:rsid w:val="39444501"/>
    <w:rsid w:val="3C354572"/>
    <w:rsid w:val="3DF23D85"/>
    <w:rsid w:val="3E7C7AA0"/>
    <w:rsid w:val="43B6657F"/>
    <w:rsid w:val="442708F5"/>
    <w:rsid w:val="44677611"/>
    <w:rsid w:val="45D34423"/>
    <w:rsid w:val="466D6214"/>
    <w:rsid w:val="48E01D1C"/>
    <w:rsid w:val="4B963850"/>
    <w:rsid w:val="4DBB2E8F"/>
    <w:rsid w:val="4EC866B8"/>
    <w:rsid w:val="4ED66442"/>
    <w:rsid w:val="4EE71F8F"/>
    <w:rsid w:val="4F262900"/>
    <w:rsid w:val="50F76E43"/>
    <w:rsid w:val="517150A6"/>
    <w:rsid w:val="52C063E6"/>
    <w:rsid w:val="53AF33AB"/>
    <w:rsid w:val="54847D2C"/>
    <w:rsid w:val="54FD7BB5"/>
    <w:rsid w:val="56EF5B23"/>
    <w:rsid w:val="59B61F2F"/>
    <w:rsid w:val="5A930791"/>
    <w:rsid w:val="5B147CAD"/>
    <w:rsid w:val="5C657042"/>
    <w:rsid w:val="5DAA7A9B"/>
    <w:rsid w:val="62DC4040"/>
    <w:rsid w:val="64442C0B"/>
    <w:rsid w:val="660C1752"/>
    <w:rsid w:val="66493ACD"/>
    <w:rsid w:val="686376CA"/>
    <w:rsid w:val="691B0000"/>
    <w:rsid w:val="6A8A6A8E"/>
    <w:rsid w:val="6D6C245D"/>
    <w:rsid w:val="6E8A3497"/>
    <w:rsid w:val="6FD44AAD"/>
    <w:rsid w:val="70787AE6"/>
    <w:rsid w:val="708D3A93"/>
    <w:rsid w:val="727853A9"/>
    <w:rsid w:val="73C00D88"/>
    <w:rsid w:val="73C252D7"/>
    <w:rsid w:val="76991F06"/>
    <w:rsid w:val="782A5B6A"/>
    <w:rsid w:val="7BD427EF"/>
    <w:rsid w:val="7C55517F"/>
    <w:rsid w:val="7F97CF4E"/>
    <w:rsid w:val="7FBF940A"/>
    <w:rsid w:val="BF25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Calibri" w:hAnsi="Calibri"/>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line="594" w:lineRule="exact"/>
      <w:ind w:firstLine="880" w:firstLineChars="200"/>
    </w:pPr>
    <w:rPr>
      <w:rFonts w:eastAsia="方正仿宋_GBK"/>
      <w:szCs w:val="24"/>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rPr>
      <w:rFonts w:ascii="Calibri" w:hAnsi="Calibri"/>
      <w:szCs w:val="22"/>
    </w:rPr>
  </w:style>
  <w:style w:type="character" w:customStyle="1" w:styleId="10">
    <w:name w:val="标题 1 Char"/>
    <w:link w:val="2"/>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b549c3f4-3ff8-499a-b033-97ee047bd32c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1B4B46B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529c48c8-386c-416a-99c7-9ce2cd36d087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9B92C44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cafd8027-9cba-4f26-8a95-d44925fce624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31D7D8E2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b5354269-1072-4997-8d18-f193778349e5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4AE74712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987a46e1-d95b-4bcd-b443-ea1948b0f873</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29FB0263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2d4acc9f-8ff8-4c8b-8af3-94b8583e1d66</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 9AF40A9</paraID>
      <start xmlns="http://schemas.wps.cn/vas-ai-hub/contract-review">39</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3b084ff3-1577-45ef-82d0-7dde9323f1d3</errorID>
      <errorWord xmlns="http://schemas.wps.cn/vas-ai-hub/contract-review">一般公共预算拨款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一般公共预算财政拨款</item>
      </candidateList>
      <explain xmlns="http://schemas.wps.cn/vas-ai-hub/contract-review">词汇“一般公共预算财政拨款”在特定场景下为固定表述形式，请确认此处的“一般公共预算拨款”是否存在不当。</explain>
      <paraID xmlns="http://schemas.wps.cn/vas-ai-hub/contract-review">526033BF</paraID>
      <start xmlns="http://schemas.wps.cn/vas-ai-hub/contract-review">67</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83e7fb99-0d97-409b-bb68-3682742c00ca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a007627f-7e05-4599-b77a-be05b581a733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5E7222DD</paraID>
      <start xmlns="http://schemas.wps.cn/vas-ai-hub/contract-review">29</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3e369-6789-4d17-be23-b213110ac8d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2338</Words>
  <Characters>2520</Characters>
  <Lines>0</Lines>
  <Paragraphs>0</Paragraphs>
  <TotalTime>19</TotalTime>
  <ScaleCrop>false</ScaleCrop>
  <LinksUpToDate>false</LinksUpToDate>
  <CharactersWithSpaces>2619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2026-02-25T18:42:00Z</dcterms:created>
  <dc:creator>LXJ</dc:creator>
  <cp:lastModifiedBy>user</cp:lastModifiedBy>
  <dcterms:modified xsi:type="dcterms:W3CDTF">2026-03-10T11:52:44Z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2BFA585B41F044D0908BF594C5EA8521_11</vt:lpwstr>
  </property>
  <property fmtid="{D5CDD505-2E9C-101B-9397-08002B2CF9AE}" pid="4" name="KSOTemplateDocerSaveRecord">
    <vt:lpwstr>eyJoZGlkIjoiNjBlY2Q2NDBiMDU1YTZjZTYyZTZmYWEzOWE2YTI1ZGYiLCJ1c2VySWQiOiI0NDg3NjUxNzkifQ==</vt:lpwstr>
  </property>
</Properties>
</file>