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horzAnchor="margin" w:tblpXSpec="center" w:tblpYSpec="top"/>
        <w:tblW w:w="8857" w:type="dxa"/>
        <w:jc w:val="center"/>
        <w:tblLayout w:type="fixed"/>
        <w:tblCellMar>
          <w:top w:w="0" w:type="dxa"/>
          <w:left w:w="108" w:type="dxa"/>
          <w:bottom w:w="0" w:type="dxa"/>
          <w:right w:w="108" w:type="dxa"/>
        </w:tblCellMar>
      </w:tblPr>
      <w:tblGrid>
        <w:gridCol w:w="8857"/>
      </w:tblGrid>
      <w:tr w14:paraId="16945B11">
        <w:trPr>
          <w:trHeight w:val="600" w:hRule="atLeast"/>
          <w:jc w:val="center"/>
        </w:trPr>
        <w:tc>
          <w:tcPr>
            <w:tcW w:w="8857" w:type="dxa"/>
            <w:noWrap w:val="0"/>
            <w:vAlign w:val="top"/>
          </w:tcPr>
          <w:p w14:paraId="0C2B52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rPr>
            </w:pPr>
            <w:bookmarkStart w:id="0" w:name="OLE_LINK4"/>
            <w:bookmarkStart w:id="1" w:name="OLE_LINK1"/>
          </w:p>
        </w:tc>
      </w:tr>
      <w:tr w14:paraId="74D77DDA">
        <w:trPr>
          <w:trHeight w:val="638" w:hRule="exact"/>
          <w:jc w:val="center"/>
        </w:trPr>
        <w:tc>
          <w:tcPr>
            <w:tcW w:w="8857" w:type="dxa"/>
            <w:noWrap w:val="0"/>
            <w:vAlign w:val="center"/>
          </w:tcPr>
          <w:p w14:paraId="350C5AE6">
            <w:pPr>
              <w:keepNext w:val="0"/>
              <w:keepLines w:val="0"/>
              <w:pageBreakBefore w:val="0"/>
              <w:widowControl w:val="0"/>
              <w:kinsoku/>
              <w:wordWrap/>
              <w:overflowPunct/>
              <w:topLinePunct w:val="0"/>
              <w:autoSpaceDE/>
              <w:autoSpaceDN/>
              <w:bidi w:val="0"/>
              <w:adjustRightInd/>
              <w:snapToGrid/>
              <w:spacing w:beforeAutospacing="0" w:afterAutospacing="0"/>
              <w:ind w:firstLine="510"/>
              <w:jc w:val="center"/>
              <w:textAlignment w:val="auto"/>
              <w:rPr>
                <w:rFonts w:ascii="Times New Roman" w:hAnsi="Times New Roman" w:eastAsia="方正小标宋简体"/>
                <w:color w:val="FF0000"/>
                <w:w w:val="80"/>
              </w:rPr>
            </w:pPr>
          </w:p>
        </w:tc>
      </w:tr>
      <w:tr w14:paraId="3FB077BF">
        <w:trPr>
          <w:trHeight w:val="2182" w:hRule="exact"/>
          <w:jc w:val="center"/>
        </w:trPr>
        <w:tc>
          <w:tcPr>
            <w:tcW w:w="8857" w:type="dxa"/>
            <w:noWrap w:val="0"/>
            <w:vAlign w:val="center"/>
          </w:tcPr>
          <w:p w14:paraId="48292EE7">
            <w:pPr>
              <w:keepNext w:val="0"/>
              <w:keepLines w:val="0"/>
              <w:pageBreakBefore w:val="0"/>
              <w:widowControl w:val="0"/>
              <w:kinsoku/>
              <w:wordWrap/>
              <w:overflowPunct/>
              <w:topLinePunct w:val="0"/>
              <w:autoSpaceDE/>
              <w:autoSpaceDN/>
              <w:bidi w:val="0"/>
              <w:adjustRightInd/>
              <w:snapToGrid/>
              <w:spacing w:beforeAutospacing="0" w:afterAutospacing="0" w:line="720" w:lineRule="auto"/>
              <w:ind w:firstLine="0" w:firstLineChars="0"/>
              <w:jc w:val="distribute"/>
              <w:textAlignment w:val="auto"/>
              <w:rPr>
                <w:rFonts w:ascii="Times New Roman" w:hAnsi="Times New Roman" w:eastAsia="方正小标宋_GBK"/>
                <w:b/>
                <w:snapToGrid w:val="0"/>
                <w:color w:val="FF0000"/>
                <w:w w:val="60"/>
                <w:kern w:val="0"/>
                <w:sz w:val="132"/>
                <w:szCs w:val="132"/>
              </w:rPr>
            </w:pPr>
            <w:r>
              <w:rPr>
                <w:rFonts w:hint="eastAsia" w:ascii="Times New Roman" w:hAnsi="Times New Roman" w:eastAsia="方正小标宋_GBK"/>
                <w:b/>
                <w:snapToGrid w:val="0"/>
                <w:color w:val="FF0000"/>
                <w:w w:val="58"/>
                <w:kern w:val="0"/>
                <w:sz w:val="132"/>
                <w:szCs w:val="132"/>
              </w:rPr>
              <w:t>重庆市开州区司法局</w:t>
            </w:r>
          </w:p>
          <w:p w14:paraId="3B00617F">
            <w:pPr>
              <w:keepNext w:val="0"/>
              <w:keepLines w:val="0"/>
              <w:pageBreakBefore w:val="0"/>
              <w:widowControl w:val="0"/>
              <w:kinsoku/>
              <w:wordWrap/>
              <w:overflowPunct/>
              <w:topLinePunct w:val="0"/>
              <w:autoSpaceDE/>
              <w:autoSpaceDN/>
              <w:bidi w:val="0"/>
              <w:adjustRightInd/>
              <w:snapToGrid/>
              <w:spacing w:beforeAutospacing="0" w:afterAutospacing="0"/>
              <w:ind w:firstLine="2458"/>
              <w:jc w:val="center"/>
              <w:textAlignment w:val="auto"/>
              <w:rPr>
                <w:rFonts w:ascii="Times New Roman" w:hAnsi="Times New Roman" w:eastAsia="方正小标宋_GBK"/>
                <w:b/>
                <w:color w:val="FF3300"/>
                <w:spacing w:val="252"/>
                <w:w w:val="56"/>
                <w:sz w:val="128"/>
                <w:szCs w:val="128"/>
              </w:rPr>
            </w:pPr>
          </w:p>
        </w:tc>
      </w:tr>
      <w:tr w14:paraId="4D7A5215">
        <w:trPr>
          <w:trHeight w:val="1361" w:hRule="exact"/>
          <w:jc w:val="center"/>
        </w:trPr>
        <w:tc>
          <w:tcPr>
            <w:tcW w:w="8857" w:type="dxa"/>
            <w:noWrap w:val="0"/>
            <w:vAlign w:val="bottom"/>
          </w:tcPr>
          <w:p w14:paraId="304E573D">
            <w:pPr>
              <w:keepNext w:val="0"/>
              <w:keepLines w:val="0"/>
              <w:pageBreakBefore w:val="0"/>
              <w:widowControl w:val="0"/>
              <w:pBdr>
                <w:top w:val="none" w:color="auto" w:sz="0" w:space="1"/>
                <w:left w:val="none" w:color="auto" w:sz="0" w:space="4"/>
                <w:bottom w:val="single" w:color="FF0000" w:sz="24" w:space="1"/>
                <w:right w:val="none" w:color="auto" w:sz="0" w:space="4"/>
              </w:pBdr>
              <w:kinsoku/>
              <w:wordWrap/>
              <w:overflowPunct/>
              <w:topLinePunct w:val="0"/>
              <w:autoSpaceDE/>
              <w:autoSpaceDN/>
              <w:bidi w:val="0"/>
              <w:adjustRightInd/>
              <w:snapToGrid/>
              <w:spacing w:beforeAutospacing="0" w:afterAutospacing="0" w:line="520" w:lineRule="exact"/>
              <w:ind w:firstLine="320" w:firstLineChars="100"/>
              <w:textAlignment w:val="auto"/>
              <w:rPr>
                <w:rFonts w:hint="eastAsia" w:ascii="Times New Roman" w:hAnsi="Times New Roman" w:eastAsiaTheme="minorEastAsia"/>
                <w:color w:val="000000"/>
                <w:sz w:val="32"/>
                <w:szCs w:val="32"/>
                <w:lang w:eastAsia="zh-CN"/>
              </w:rPr>
            </w:pPr>
            <w:r>
              <w:rPr>
                <w:rFonts w:hint="default" w:ascii="Times New Roman" w:hAnsi="Times New Roman" w:eastAsia="方正仿宋_GBK" w:cs="Times New Roman"/>
                <w:snapToGrid w:val="0"/>
                <w:sz w:val="32"/>
                <w:szCs w:val="32"/>
              </w:rPr>
              <w:t>开州司文</w:t>
            </w:r>
            <w:r>
              <w:rPr>
                <w:rFonts w:hint="eastAsia" w:ascii="Times New Roman" w:hAnsi="Times New Roman" w:eastAsia="方正仿宋_GBK" w:cs="方正仿宋_GBK"/>
                <w:color w:val="000000"/>
                <w:sz w:val="32"/>
                <w:szCs w:val="32"/>
              </w:rPr>
              <w:t>〔</w:t>
            </w:r>
            <w:r>
              <w:rPr>
                <w:rFonts w:hint="default" w:ascii="Times New Roman" w:hAnsi="Times New Roman" w:cs="Times New Roman"/>
                <w:color w:val="000000"/>
                <w:sz w:val="32"/>
                <w:szCs w:val="32"/>
              </w:rPr>
              <w:t>202</w:t>
            </w:r>
            <w:r>
              <w:rPr>
                <w:rFonts w:hint="eastAsia" w:ascii="Times New Roman" w:hAnsi="Times New Roman" w:cs="Times New Roman"/>
                <w:color w:val="000000"/>
                <w:sz w:val="32"/>
                <w:szCs w:val="32"/>
                <w:lang w:val="en-US" w:eastAsia="zh-CN"/>
              </w:rPr>
              <w:t>6</w:t>
            </w:r>
            <w:r>
              <w:rPr>
                <w:rFonts w:hint="eastAsia" w:ascii="Times New Roman" w:hAnsi="Times New Roman" w:eastAsia="方正仿宋_GBK" w:cs="方正仿宋_GBK"/>
                <w:color w:val="000000"/>
                <w:sz w:val="32"/>
                <w:szCs w:val="32"/>
              </w:rPr>
              <w:t>〕</w:t>
            </w:r>
            <w:r>
              <w:rPr>
                <w:rFonts w:hint="eastAsia" w:ascii="Times New Roman" w:hAnsi="Times New Roman" w:cs="Times New Roman"/>
                <w:color w:val="000000"/>
                <w:sz w:val="32"/>
                <w:szCs w:val="32"/>
                <w:lang w:val="en-US" w:eastAsia="zh-CN"/>
              </w:rPr>
              <w:t>6</w:t>
            </w:r>
            <w:r>
              <w:rPr>
                <w:rFonts w:hint="default" w:ascii="Times New Roman" w:hAnsi="Times New Roman" w:eastAsia="方正仿宋_GBK" w:cs="Times New Roman"/>
                <w:snapToGrid w:val="0"/>
                <w:sz w:val="32"/>
                <w:szCs w:val="32"/>
              </w:rPr>
              <w:t>号</w:t>
            </w:r>
            <w:r>
              <w:rPr>
                <w:rFonts w:ascii="Times New Roman" w:hAnsi="Times New Roman"/>
                <w:color w:val="000000"/>
                <w:sz w:val="32"/>
                <w:szCs w:val="32"/>
              </w:rPr>
              <w:t xml:space="preserve">            </w:t>
            </w:r>
            <w:r>
              <w:rPr>
                <w:rFonts w:hint="eastAsia" w:ascii="Times New Roman" w:hAnsi="Times New Roman"/>
                <w:color w:val="000000"/>
                <w:sz w:val="32"/>
                <w:szCs w:val="32"/>
              </w:rPr>
              <w:t xml:space="preserve"> </w:t>
            </w:r>
            <w:r>
              <w:rPr>
                <w:rFonts w:ascii="Times New Roman" w:hAnsi="Times New Roman"/>
                <w:color w:val="000000"/>
                <w:sz w:val="32"/>
                <w:szCs w:val="32"/>
              </w:rPr>
              <w:t xml:space="preserve">  </w:t>
            </w:r>
            <w:r>
              <w:rPr>
                <w:rFonts w:hint="eastAsia" w:ascii="Times New Roman" w:hAnsi="Times New Roman"/>
                <w:color w:val="000000"/>
                <w:sz w:val="32"/>
                <w:szCs w:val="32"/>
              </w:rPr>
              <w:t xml:space="preserve"> </w:t>
            </w:r>
            <w:r>
              <w:rPr>
                <w:rFonts w:hint="default" w:ascii="Times New Roman" w:hAnsi="Times New Roman" w:eastAsia="方正仿宋_GBK" w:cs="Times New Roman"/>
                <w:snapToGrid w:val="0"/>
                <w:sz w:val="32"/>
                <w:szCs w:val="32"/>
              </w:rPr>
              <w:t>签发人</w:t>
            </w:r>
            <w:r>
              <w:rPr>
                <w:rFonts w:ascii="Times New Roman" w:hAnsi="Times New Roman"/>
                <w:color w:val="000000"/>
                <w:sz w:val="32"/>
                <w:szCs w:val="32"/>
              </w:rPr>
              <w:t>：</w:t>
            </w:r>
            <w:r>
              <w:rPr>
                <w:rFonts w:hint="eastAsia" w:ascii="Times New Roman" w:hAnsi="Times New Roman" w:eastAsia="方正楷体_GBK" w:cs="方正楷体_GBK"/>
                <w:color w:val="000000"/>
                <w:sz w:val="32"/>
                <w:szCs w:val="32"/>
                <w:lang w:val="en-US" w:eastAsia="zh-CN"/>
              </w:rPr>
              <w:t>雷平</w:t>
            </w:r>
          </w:p>
          <w:p w14:paraId="4547EDE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1040"/>
              <w:jc w:val="both"/>
              <w:textAlignment w:val="auto"/>
              <w:rPr>
                <w:rFonts w:ascii="Times New Roman" w:hAnsi="Times New Roman"/>
                <w:color w:val="FF3300"/>
                <w:sz w:val="52"/>
                <w:szCs w:val="52"/>
              </w:rPr>
            </w:pPr>
          </w:p>
        </w:tc>
      </w:tr>
    </w:tbl>
    <w:p w14:paraId="3A963515">
      <w:pPr>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ascii="Times New Roman" w:hAnsi="Times New Roman"/>
        </w:rPr>
      </w:pPr>
    </w:p>
    <w:p w14:paraId="6395620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Times New Roman" w:hAnsi="Times New Roman"/>
        </w:rPr>
      </w:pPr>
      <w:r>
        <w:rPr>
          <w:rFonts w:ascii="Times New Roman" w:hAnsi="Times New Roman" w:eastAsia="方正小标宋_GBK"/>
          <w:color w:val="000000"/>
          <w:sz w:val="44"/>
          <w:szCs w:val="44"/>
        </w:rPr>
        <w:t>重庆市开州区</w:t>
      </w:r>
      <w:r>
        <w:rPr>
          <w:rFonts w:hint="eastAsia" w:ascii="Times New Roman" w:hAnsi="Times New Roman" w:eastAsia="方正小标宋_GBK"/>
          <w:color w:val="000000"/>
          <w:sz w:val="44"/>
          <w:szCs w:val="44"/>
          <w:lang w:val="en-US" w:eastAsia="zh-CN"/>
        </w:rPr>
        <w:t>司法局</w:t>
      </w:r>
      <w:bookmarkEnd w:id="0"/>
    </w:p>
    <w:bookmarkEnd w:id="1"/>
    <w:p w14:paraId="3B45934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小标宋_GBK"/>
          <w:sz w:val="44"/>
          <w:szCs w:val="44"/>
          <w:highlight w:val="none"/>
          <w:lang w:val="en-US" w:eastAsia="zh-CN"/>
        </w:rPr>
      </w:pPr>
      <w:r>
        <w:rPr>
          <w:rFonts w:ascii="Times New Roman" w:hAnsi="Times New Roman" w:eastAsia="方正小标宋_GBK"/>
          <w:sz w:val="44"/>
          <w:szCs w:val="44"/>
        </w:rPr>
        <w:t>关于</w:t>
      </w:r>
      <w:r>
        <w:rPr>
          <w:rFonts w:hint="eastAsia" w:ascii="Times New Roman" w:hAnsi="Times New Roman" w:eastAsia="方正小标宋_GBK"/>
          <w:color w:val="000000"/>
          <w:sz w:val="44"/>
          <w:szCs w:val="44"/>
          <w:lang w:eastAsia="zh-CN"/>
        </w:rPr>
        <w:t>重庆市开州</w:t>
      </w:r>
      <w:r>
        <w:rPr>
          <w:rFonts w:hint="eastAsia" w:ascii="Times New Roman" w:hAnsi="Times New Roman" w:eastAsia="方正小标宋_GBK"/>
          <w:color w:val="000000"/>
          <w:sz w:val="44"/>
          <w:szCs w:val="44"/>
          <w:lang w:val="en-US" w:eastAsia="zh-CN"/>
        </w:rPr>
        <w:t>公证处</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ascii="Times New Roman" w:hAnsi="Times New Roman" w:eastAsia="方正小标宋_GBK"/>
          <w:sz w:val="44"/>
          <w:szCs w:val="44"/>
        </w:rPr>
        <w:t>年部门预算情况公开的公告</w:t>
      </w:r>
    </w:p>
    <w:p w14:paraId="630BB4A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sz w:val="32"/>
          <w:szCs w:val="32"/>
          <w:highlight w:val="none"/>
        </w:rPr>
      </w:pPr>
    </w:p>
    <w:p w14:paraId="2F7F6D3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w:t>
      </w:r>
      <w:r>
        <w:rPr>
          <w:rFonts w:hint="eastAsia" w:ascii="Times New Roman" w:hAnsi="Times New Roman" w:eastAsia="方正仿宋_GBK" w:cs="Times New Roman"/>
          <w:sz w:val="32"/>
          <w:szCs w:val="32"/>
          <w:highlight w:val="none"/>
          <w:lang w:val="en-US" w:eastAsia="zh-CN"/>
        </w:rPr>
        <w:t>开州区</w:t>
      </w:r>
      <w:r>
        <w:rPr>
          <w:rFonts w:hint="eastAsia" w:ascii="Times New Roman" w:hAnsi="Times New Roman" w:eastAsia="方正仿宋_GBK"/>
          <w:sz w:val="32"/>
          <w:szCs w:val="32"/>
          <w:lang w:val="en-US" w:eastAsia="zh-CN"/>
        </w:rPr>
        <w:t>司法</w:t>
      </w:r>
      <w:r>
        <w:rPr>
          <w:rFonts w:hint="eastAsia" w:ascii="Times New Roman" w:hAnsi="Times New Roman" w:eastAsia="方正仿宋_GBK"/>
          <w:sz w:val="32"/>
          <w:szCs w:val="32"/>
        </w:rPr>
        <w:t>局</w:t>
      </w:r>
      <w:r>
        <w:rPr>
          <w:rFonts w:ascii="Times New Roman" w:hAnsi="Times New Roman" w:eastAsia="方正仿宋_GBK"/>
          <w:sz w:val="32"/>
          <w:szCs w:val="32"/>
        </w:rPr>
        <w:t>《关于批复</w:t>
      </w:r>
      <w:r>
        <w:rPr>
          <w:rFonts w:hint="eastAsia" w:ascii="Times New Roman" w:hAnsi="Times New Roman" w:eastAsia="方正仿宋_GBK"/>
          <w:sz w:val="32"/>
          <w:szCs w:val="32"/>
          <w:lang w:val="en-US" w:eastAsia="zh-CN"/>
        </w:rPr>
        <w:t>重庆市</w:t>
      </w:r>
      <w:r>
        <w:rPr>
          <w:rFonts w:hint="eastAsia" w:ascii="Times New Roman" w:hAnsi="Times New Roman" w:eastAsia="方正仿宋_GBK"/>
          <w:sz w:val="32"/>
          <w:szCs w:val="32"/>
          <w:lang w:eastAsia="zh-CN"/>
        </w:rPr>
        <w:t>开州公证处202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年预算的通知》</w:t>
      </w:r>
      <w:r>
        <w:rPr>
          <w:rFonts w:hint="default" w:ascii="Times New Roman" w:hAnsi="Times New Roman" w:eastAsia="方正仿宋_GBK" w:cs="Times New Roman"/>
          <w:sz w:val="32"/>
          <w:szCs w:val="32"/>
          <w:highlight w:val="none"/>
        </w:rPr>
        <w:t>（</w:t>
      </w:r>
      <w:r>
        <w:rPr>
          <w:rFonts w:ascii="Times New Roman" w:hAnsi="Times New Roman" w:eastAsia="方正仿宋_GBK" w:cs="Times New Roman"/>
          <w:color w:val="auto"/>
          <w:sz w:val="32"/>
          <w:szCs w:val="34"/>
        </w:rPr>
        <w:t>开州司</w:t>
      </w:r>
      <w:r>
        <w:rPr>
          <w:rFonts w:hint="eastAsia" w:ascii="Times New Roman" w:hAnsi="Times New Roman" w:eastAsia="方正仿宋_GBK" w:cs="Times New Roman"/>
          <w:color w:val="auto"/>
          <w:sz w:val="32"/>
          <w:szCs w:val="34"/>
          <w:lang w:val="en-US" w:eastAsia="zh-CN"/>
        </w:rPr>
        <w:t>发</w:t>
      </w:r>
      <w:r>
        <w:rPr>
          <w:rFonts w:ascii="Times New Roman" w:hAnsi="Times New Roman" w:eastAsia="方正仿宋_GBK" w:cs="Times New Roman"/>
          <w:sz w:val="32"/>
          <w:szCs w:val="34"/>
        </w:rPr>
        <w:t>〔202</w:t>
      </w:r>
      <w:r>
        <w:rPr>
          <w:rFonts w:hint="eastAsia" w:ascii="Times New Roman" w:hAnsi="Times New Roman" w:eastAsia="方正仿宋_GBK" w:cs="Times New Roman"/>
          <w:sz w:val="32"/>
          <w:szCs w:val="34"/>
          <w:lang w:val="en-US" w:eastAsia="zh-CN"/>
        </w:rPr>
        <w:t>6</w:t>
      </w:r>
      <w:r>
        <w:rPr>
          <w:rFonts w:ascii="Times New Roman" w:hAnsi="Times New Roman" w:eastAsia="方正仿宋_GBK" w:cs="Times New Roman"/>
          <w:sz w:val="32"/>
          <w:szCs w:val="34"/>
        </w:rPr>
        <w:t>〕</w:t>
      </w:r>
      <w:r>
        <w:rPr>
          <w:rFonts w:hint="eastAsia" w:ascii="Times New Roman" w:hAnsi="Times New Roman" w:eastAsia="方正仿宋_GBK" w:cs="Times New Roman"/>
          <w:sz w:val="32"/>
          <w:szCs w:val="34"/>
          <w:lang w:val="en-US" w:eastAsia="zh-CN"/>
        </w:rPr>
        <w:t>7</w:t>
      </w:r>
      <w:r>
        <w:rPr>
          <w:rFonts w:ascii="Times New Roman" w:hAnsi="Times New Roman" w:eastAsia="方正仿宋_GBK" w:cs="Times New Roman"/>
          <w:sz w:val="32"/>
          <w:szCs w:val="34"/>
        </w:rPr>
        <w:t>号</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0657FE4C">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7156FF4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261C32E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p>
    <w:p w14:paraId="5756B56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6A7CC6D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4F05503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14A3BBB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5081BB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2A2E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2F15B3D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045918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经费情况说明</w:t>
      </w:r>
    </w:p>
    <w:p w14:paraId="557684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01E17D0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4FCA26EC">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rPr>
      </w:pPr>
    </w:p>
    <w:p w14:paraId="40FCAE1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59D69E9B">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7375279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收支预算总表</w:t>
      </w:r>
    </w:p>
    <w:p w14:paraId="2950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收入总表</w:t>
      </w:r>
    </w:p>
    <w:p w14:paraId="5C6560B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本年支出预算总表</w:t>
      </w:r>
    </w:p>
    <w:p w14:paraId="40799F8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财政拨款收支预算总表</w:t>
      </w:r>
    </w:p>
    <w:p w14:paraId="0B8775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本年一般公共预算支出预算表</w:t>
      </w:r>
    </w:p>
    <w:p w14:paraId="32E887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一般公共预算基本支出预算表</w:t>
      </w:r>
    </w:p>
    <w:p w14:paraId="49CB3E4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一般公共预算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14:paraId="1F2A9F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政府性基金预算支出预算表</w:t>
      </w:r>
    </w:p>
    <w:p w14:paraId="4D462EC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国有资本经营预算支出预算表</w:t>
      </w:r>
    </w:p>
    <w:p w14:paraId="00ED5E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项目支出表</w:t>
      </w:r>
    </w:p>
    <w:p w14:paraId="205438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rPr>
        <w:t>项目绩效目标表</w:t>
      </w:r>
    </w:p>
    <w:p w14:paraId="3270534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508CAEC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79929D1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4DB58BF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28F9D8A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4182CAAB">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jc w:val="center"/>
        <w:textAlignment w:val="auto"/>
        <w:rPr>
          <w:rFonts w:hint="default" w:ascii="Times New Roman" w:hAnsi="Times New Roman" w:eastAsia="华文中宋" w:cs="Times New Roman"/>
          <w:sz w:val="44"/>
          <w:szCs w:val="44"/>
          <w:highlight w:val="none"/>
        </w:rPr>
      </w:pPr>
    </w:p>
    <w:p w14:paraId="4D62FF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21602C0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楷体_GBK"/>
          <w:sz w:val="32"/>
        </w:rPr>
      </w:pPr>
      <w:r>
        <w:rPr>
          <w:rFonts w:hint="eastAsia" w:ascii="Times New Roman" w:hAnsi="Times New Roman" w:eastAsia="方正楷体_GBK"/>
          <w:sz w:val="32"/>
        </w:rPr>
        <w:t>（一）职能职责</w:t>
      </w:r>
    </w:p>
    <w:p w14:paraId="5570AFB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sz w:val="32"/>
        </w:rPr>
      </w:pPr>
      <w:r>
        <w:rPr>
          <w:rStyle w:val="10"/>
          <w:rFonts w:hint="eastAsia" w:ascii="Times New Roman" w:hAnsi="Times New Roman" w:eastAsia="仿宋" w:cs="仿宋"/>
          <w:sz w:val="32"/>
          <w:szCs w:val="32"/>
          <w:lang w:val="en-US" w:eastAsia="zh-CN"/>
        </w:rPr>
        <w:t>重庆市开州公证处</w:t>
      </w:r>
      <w:r>
        <w:rPr>
          <w:rStyle w:val="10"/>
          <w:rFonts w:hint="eastAsia" w:ascii="Times New Roman" w:hAnsi="Times New Roman" w:eastAsia="仿宋" w:cs="仿宋"/>
          <w:sz w:val="32"/>
          <w:szCs w:val="32"/>
        </w:rPr>
        <w:t>依法办理公证，预防纠纷，保障自然人、法人或者其他组织的合法权益。根据自然人、法人或者其他组织的申请，办理公证事项，出具公证书；根据自然人、法人或者其他组织的申请，办理有关事务；公证档案的保存和移交</w:t>
      </w:r>
      <w:r>
        <w:rPr>
          <w:rFonts w:ascii="Times New Roman" w:hAnsi="Times New Roman" w:eastAsia="方正仿宋_GBK"/>
          <w:sz w:val="32"/>
        </w:rPr>
        <w:t>。</w:t>
      </w:r>
    </w:p>
    <w:p w14:paraId="3CB3247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方正楷体_GBK"/>
          <w:sz w:val="32"/>
        </w:rPr>
      </w:pPr>
      <w:r>
        <w:rPr>
          <w:rFonts w:hint="eastAsia" w:ascii="Times New Roman" w:hAnsi="Times New Roman" w:eastAsia="方正楷体_GBK"/>
          <w:sz w:val="32"/>
        </w:rPr>
        <w:t>（二）单位构成</w:t>
      </w:r>
    </w:p>
    <w:p w14:paraId="1A6B680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ascii="Times New Roman" w:hAnsi="Times New Roman" w:eastAsia="方正仿宋_GBK"/>
          <w:sz w:val="32"/>
        </w:rPr>
      </w:pPr>
      <w:r>
        <w:rPr>
          <w:rFonts w:hint="eastAsia" w:ascii="Times New Roman" w:hAnsi="Times New Roman" w:eastAsia="方正仿宋_GBK"/>
          <w:sz w:val="32"/>
          <w:lang w:val="en-US" w:eastAsia="zh-CN"/>
        </w:rPr>
        <w:t>公证处设有事业编制5名，领导职数1名</w:t>
      </w:r>
      <w:r>
        <w:rPr>
          <w:rFonts w:ascii="Times New Roman" w:hAnsi="Times New Roman" w:eastAsia="方正仿宋_GBK"/>
          <w:sz w:val="32"/>
        </w:rPr>
        <w:t>。</w:t>
      </w:r>
    </w:p>
    <w:p w14:paraId="1BA2AEE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475E02D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87.56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87.56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6.26</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主要原因是人员工资正常晋升及</w:t>
      </w:r>
      <w:r>
        <w:rPr>
          <w:rFonts w:hint="eastAsia" w:ascii="Times New Roman" w:hAnsi="Times New Roman" w:eastAsia="方正仿宋_GBK"/>
          <w:sz w:val="32"/>
          <w:highlight w:val="none"/>
          <w:lang w:val="en-US" w:eastAsia="zh-CN"/>
        </w:rPr>
        <w:t>社会保险和住房公积金基数调整的支出</w:t>
      </w:r>
      <w:r>
        <w:rPr>
          <w:rFonts w:ascii="Times New Roman" w:hAnsi="Times New Roman" w:eastAsia="方正仿宋_GBK"/>
          <w:sz w:val="32"/>
          <w:highlight w:val="none"/>
        </w:rPr>
        <w:t>增加。</w:t>
      </w:r>
    </w:p>
    <w:p w14:paraId="1F3F4BC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87.56</w:t>
      </w:r>
      <w:r>
        <w:rPr>
          <w:rFonts w:hint="default" w:ascii="Times New Roman" w:hAnsi="Times New Roman" w:eastAsia="方正仿宋_GBK" w:cs="Times New Roman"/>
          <w:sz w:val="32"/>
          <w:highlight w:val="none"/>
        </w:rPr>
        <w:t xml:space="preserve"> 万元，其中：</w:t>
      </w:r>
      <w:r>
        <w:rPr>
          <w:rFonts w:hint="eastAsia" w:ascii="Times New Roman" w:hAnsi="Times New Roman" w:eastAsia="方正仿宋_GBK"/>
          <w:sz w:val="32"/>
        </w:rPr>
        <w:t>公共安全支出67.37</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社会保障和就业支出预算</w:t>
      </w:r>
      <w:r>
        <w:rPr>
          <w:rFonts w:hint="eastAsia" w:ascii="Times New Roman" w:hAnsi="Times New Roman" w:eastAsia="方正仿宋_GBK"/>
          <w:sz w:val="32"/>
          <w:lang w:val="en-US" w:eastAsia="zh-CN"/>
        </w:rPr>
        <w:t>11.84</w:t>
      </w:r>
      <w:r>
        <w:rPr>
          <w:rFonts w:ascii="Times New Roman" w:hAnsi="Times New Roman" w:eastAsia="方正仿宋_GBK"/>
          <w:sz w:val="32"/>
        </w:rPr>
        <w:t>万元，卫生健康支出预算</w:t>
      </w:r>
      <w:r>
        <w:rPr>
          <w:rFonts w:hint="eastAsia" w:ascii="Times New Roman" w:hAnsi="Times New Roman" w:eastAsia="方正仿宋_GBK"/>
          <w:sz w:val="32"/>
          <w:lang w:val="en-US" w:eastAsia="zh-CN"/>
        </w:rPr>
        <w:t>4.2</w:t>
      </w:r>
      <w:r>
        <w:rPr>
          <w:rFonts w:ascii="Times New Roman" w:hAnsi="Times New Roman" w:eastAsia="方正仿宋_GBK"/>
          <w:sz w:val="32"/>
        </w:rPr>
        <w:t>万元，住房保障支出预算</w:t>
      </w:r>
      <w:r>
        <w:rPr>
          <w:rFonts w:hint="eastAsia" w:ascii="Times New Roman" w:hAnsi="Times New Roman" w:eastAsia="方正仿宋_GBK"/>
          <w:sz w:val="32"/>
          <w:lang w:val="en-US" w:eastAsia="zh-CN"/>
        </w:rPr>
        <w:t>4.15</w:t>
      </w:r>
      <w:r>
        <w:rPr>
          <w:rFonts w:ascii="Times New Roman" w:hAnsi="Times New Roman" w:eastAsia="方正仿宋_GBK"/>
          <w:sz w:val="32"/>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87.56</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人员工资正常晋升及</w:t>
      </w:r>
      <w:r>
        <w:rPr>
          <w:rFonts w:hint="eastAsia" w:ascii="Times New Roman" w:hAnsi="Times New Roman" w:eastAsia="方正仿宋_GBK"/>
          <w:sz w:val="32"/>
          <w:highlight w:val="none"/>
          <w:lang w:val="en-US" w:eastAsia="zh-CN"/>
        </w:rPr>
        <w:t>社会保险和住房公积金基数调整的支出</w:t>
      </w:r>
      <w:r>
        <w:rPr>
          <w:rFonts w:ascii="Times New Roman" w:hAnsi="Times New Roman" w:eastAsia="方正仿宋_GBK"/>
          <w:sz w:val="32"/>
          <w:highlight w:val="none"/>
        </w:rPr>
        <w:t>增加。</w:t>
      </w:r>
    </w:p>
    <w:p w14:paraId="294D8B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5DDC7F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sz w:val="32"/>
          <w:lang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87.56</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87.56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6.26</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87.56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6.26</w:t>
      </w:r>
      <w:r>
        <w:rPr>
          <w:rFonts w:hint="default" w:ascii="Times New Roman" w:hAnsi="Times New Roman" w:eastAsia="方正仿宋_GBK" w:cs="Times New Roman"/>
          <w:sz w:val="32"/>
          <w:highlight w:val="none"/>
        </w:rPr>
        <w:t>万元，</w:t>
      </w:r>
      <w:r>
        <w:rPr>
          <w:rFonts w:hint="eastAsia" w:ascii="Times New Roman" w:hAnsi="Times New Roman" w:eastAsia="方正仿宋_GBK"/>
          <w:sz w:val="32"/>
          <w:lang w:val="en-US" w:eastAsia="zh-CN"/>
        </w:rPr>
        <w:t>2025年人员正常工资晋升及相应社保费用增加，</w:t>
      </w:r>
      <w:r>
        <w:rPr>
          <w:rFonts w:ascii="Times New Roman" w:hAnsi="Times New Roman" w:eastAsia="方正仿宋_GBK"/>
          <w:sz w:val="32"/>
        </w:rPr>
        <w:t>主要用于保障在职人员工资福利及社会保险缴费，离休人员离休费，退休人员补助等，保障部门正常运转的各项商品服务支出</w:t>
      </w:r>
      <w:r>
        <w:rPr>
          <w:rFonts w:hint="eastAsia" w:ascii="Times New Roman" w:hAnsi="Times New Roman" w:eastAsia="方正仿宋_GBK"/>
          <w:sz w:val="32"/>
          <w:lang w:eastAsia="zh-CN"/>
        </w:rPr>
        <w:t>。</w:t>
      </w:r>
      <w:r>
        <w:rPr>
          <w:rFonts w:hint="eastAsia" w:ascii="Times New Roman" w:hAnsi="Times New Roman" w:eastAsia="方正仿宋_GBK"/>
          <w:sz w:val="32"/>
          <w:highlight w:val="none"/>
          <w:lang w:val="en-US" w:eastAsia="zh-CN"/>
        </w:rPr>
        <w:t>项目支出0万元。</w:t>
      </w:r>
    </w:p>
    <w:p w14:paraId="317291E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重庆市开州公证处</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14:paraId="6609A57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三公</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经费情况说明</w:t>
      </w:r>
    </w:p>
    <w:p w14:paraId="5877EC52">
      <w:pPr>
        <w:keepNext w:val="0"/>
        <w:keepLines w:val="0"/>
        <w:pageBreakBefore w:val="0"/>
        <w:widowControl w:val="0"/>
        <w:kinsoku/>
        <w:wordWrap/>
        <w:overflowPunct/>
        <w:topLinePunct w:val="0"/>
        <w:autoSpaceDE/>
        <w:autoSpaceDN/>
        <w:bidi w:val="0"/>
        <w:adjustRightInd/>
        <w:snapToGrid/>
        <w:spacing w:line="60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三公</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减少1.3</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减少0.3</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减少1</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因公证处改革等原因，相关费用由原渠道列支</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5645009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1A22C7F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lang w:val="en-US" w:eastAsia="zh-CN"/>
        </w:rPr>
        <w:t>一）</w:t>
      </w:r>
      <w:r>
        <w:rPr>
          <w:rFonts w:hint="eastAsia" w:ascii="方正楷体_GBK" w:hAnsi="方正楷体_GBK" w:eastAsia="方正楷体_GBK" w:cs="方正楷体_GBK"/>
          <w:sz w:val="32"/>
        </w:rPr>
        <w:t>我单位不在机关运行经费统计范围之内。</w:t>
      </w:r>
    </w:p>
    <w:p w14:paraId="526033B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lang w:eastAsia="zh-CN"/>
        </w:rPr>
        <w:t>（二）政府采购情况。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051820E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sz w:val="32"/>
          <w:highlight w:val="none"/>
          <w:lang w:val="en-US" w:eastAsia="zh-CN"/>
        </w:rPr>
      </w:pPr>
      <w:r>
        <w:rPr>
          <w:rFonts w:hint="default" w:ascii="方正楷体_GBK" w:hAnsi="方正楷体_GBK" w:eastAsia="方正楷体_GBK" w:cs="方正楷体_GBK"/>
          <w:sz w:val="32"/>
          <w:lang w:eastAsia="zh-CN"/>
        </w:rPr>
        <w:t>（三）绩效目标设置情况。</w:t>
      </w:r>
      <w:r>
        <w:rPr>
          <w:rFonts w:hint="eastAsia" w:ascii="Times New Roman" w:hAnsi="Times New Roman" w:eastAsia="方正仿宋_GBK"/>
          <w:sz w:val="32"/>
          <w:highlight w:val="none"/>
          <w:lang w:val="en-US" w:eastAsia="zh-CN"/>
        </w:rPr>
        <w:t>2026年初预算无项目支出，无项目绩效目标管理，涉及一般公共预算当年财政拨款0万元。</w:t>
      </w:r>
    </w:p>
    <w:p w14:paraId="5FEBCC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lang w:eastAsia="zh-CN"/>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w:t>
      </w:r>
      <w:r>
        <w:rPr>
          <w:rFonts w:hint="eastAsia" w:ascii="Times New Roman" w:hAnsi="Times New Roman" w:eastAsia="方正仿宋_GBK" w:cs="仿宋_GB2312"/>
          <w:color w:val="000000"/>
          <w:sz w:val="32"/>
          <w:lang w:val="en-US" w:eastAsia="zh-CN"/>
        </w:rPr>
        <w:t>应急保障用车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辆、执勤执法用车 </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6DB6767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7878EF5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E7222DD">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14:paraId="5EF4D90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7F1EE3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5D26183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1AB67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方正小标宋_GBK" w:cs="Times New Roman"/>
          <w:sz w:val="44"/>
          <w:szCs w:val="44"/>
          <w:highlight w:val="none"/>
        </w:rPr>
      </w:pPr>
    </w:p>
    <w:p w14:paraId="21EE35E4">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2D5438A3">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6F99B47D">
      <w:pPr>
        <w:pStyle w:val="2"/>
        <w:rPr>
          <w:rFonts w:hint="default" w:ascii="Times New Roman" w:hAnsi="Times New Roman" w:eastAsia="方正小标宋_GBK" w:cs="Times New Roman"/>
          <w:sz w:val="44"/>
          <w:szCs w:val="44"/>
          <w:highlight w:val="none"/>
        </w:rPr>
      </w:pPr>
    </w:p>
    <w:p w14:paraId="0C8A457D">
      <w:pPr>
        <w:rPr>
          <w:rFonts w:hint="default" w:ascii="Times New Roman" w:hAnsi="Times New Roman" w:eastAsia="方正小标宋_GBK" w:cs="Times New Roman"/>
          <w:sz w:val="44"/>
          <w:szCs w:val="44"/>
          <w:highlight w:val="none"/>
        </w:rPr>
      </w:pPr>
    </w:p>
    <w:p w14:paraId="195F8535">
      <w:pPr>
        <w:pStyle w:val="2"/>
        <w:rPr>
          <w:rFonts w:hint="default" w:ascii="Times New Roman" w:hAnsi="Times New Roman" w:eastAsia="方正小标宋_GBK" w:cs="Times New Roman"/>
          <w:sz w:val="44"/>
          <w:szCs w:val="44"/>
          <w:highlight w:val="none"/>
        </w:rPr>
      </w:pPr>
    </w:p>
    <w:p w14:paraId="23F01F23">
      <w:pPr>
        <w:rPr>
          <w:rFonts w:hint="default" w:ascii="Times New Roman" w:hAnsi="Times New Roman" w:eastAsia="方正小标宋_GBK" w:cs="Times New Roman"/>
          <w:sz w:val="44"/>
          <w:szCs w:val="44"/>
          <w:highlight w:val="none"/>
        </w:rPr>
      </w:pPr>
    </w:p>
    <w:p w14:paraId="6A1544F4">
      <w:pPr>
        <w:pStyle w:val="2"/>
        <w:rPr>
          <w:rFonts w:hint="default" w:ascii="Times New Roman" w:hAnsi="Times New Roman" w:eastAsia="方正小标宋_GBK" w:cs="Times New Roman"/>
          <w:sz w:val="44"/>
          <w:szCs w:val="44"/>
          <w:highlight w:val="none"/>
        </w:rPr>
      </w:pPr>
    </w:p>
    <w:p w14:paraId="33272DCB">
      <w:pPr>
        <w:rPr>
          <w:rFonts w:hint="default" w:ascii="Times New Roman" w:hAnsi="Times New Roman" w:eastAsia="方正小标宋_GBK" w:cs="Times New Roman"/>
          <w:sz w:val="44"/>
          <w:szCs w:val="44"/>
          <w:highlight w:val="none"/>
        </w:rPr>
      </w:pPr>
    </w:p>
    <w:p w14:paraId="2C9A6644">
      <w:pPr>
        <w:pStyle w:val="2"/>
        <w:rPr>
          <w:rFonts w:hint="default"/>
        </w:rPr>
      </w:pPr>
    </w:p>
    <w:p w14:paraId="39443473">
      <w:pPr>
        <w:rPr>
          <w:rFonts w:hint="default" w:ascii="Times New Roman" w:hAnsi="Times New Roman" w:eastAsia="方正小标宋_GBK" w:cs="Times New Roman"/>
          <w:sz w:val="44"/>
          <w:szCs w:val="44"/>
          <w:highlight w:val="none"/>
        </w:rPr>
      </w:pPr>
    </w:p>
    <w:p w14:paraId="465BB1CE">
      <w:pPr>
        <w:rPr>
          <w:rFonts w:hint="default"/>
        </w:rPr>
      </w:pPr>
    </w:p>
    <w:p w14:paraId="063783F7">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5C4799F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p>
    <w:p w14:paraId="462038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重庆市开州公证处</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3373C3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60EC5E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部门预算公开联系人：</w:t>
      </w:r>
      <w:r>
        <w:rPr>
          <w:rFonts w:hint="eastAsia" w:ascii="Times New Roman" w:hAnsi="Times New Roman" w:eastAsia="方正仿宋_GBK" w:cs="Times New Roman"/>
          <w:sz w:val="32"/>
          <w:szCs w:val="32"/>
          <w:highlight w:val="none"/>
          <w:lang w:val="en-US" w:eastAsia="zh-CN"/>
        </w:rPr>
        <w:t>罗兴婧</w:t>
      </w:r>
      <w:r>
        <w:rPr>
          <w:rFonts w:hint="default" w:ascii="Times New Roman" w:hAnsi="Times New Roman" w:eastAsia="方正仿宋_GBK" w:cs="Times New Roman"/>
          <w:sz w:val="32"/>
          <w:szCs w:val="32"/>
          <w:highlight w:val="none"/>
          <w:lang w:val="en-US" w:eastAsia="zh-CN"/>
        </w:rPr>
        <w:t xml:space="preserve">  </w:t>
      </w:r>
    </w:p>
    <w:p w14:paraId="48BDFC0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联系方式：023-</w:t>
      </w:r>
      <w:r>
        <w:rPr>
          <w:rFonts w:hint="eastAsia" w:ascii="Times New Roman" w:hAnsi="Times New Roman" w:eastAsia="方正仿宋_GBK" w:cs="Times New Roman"/>
          <w:sz w:val="32"/>
          <w:szCs w:val="32"/>
          <w:highlight w:val="none"/>
          <w:lang w:val="en-US" w:eastAsia="zh-CN"/>
        </w:rPr>
        <w:t>52218608</w:t>
      </w:r>
    </w:p>
    <w:p w14:paraId="4D2FA0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71CD453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0788E904">
      <w:pPr>
        <w:keepNext w:val="0"/>
        <w:keepLines w:val="0"/>
        <w:pageBreakBefore w:val="0"/>
        <w:widowControl w:val="0"/>
        <w:kinsoku/>
        <w:wordWrap/>
        <w:overflowPunct/>
        <w:topLinePunct w:val="0"/>
        <w:autoSpaceDE/>
        <w:autoSpaceDN/>
        <w:bidi w:val="0"/>
        <w:adjustRightInd/>
        <w:snapToGrid/>
        <w:spacing w:line="600" w:lineRule="exact"/>
        <w:ind w:left="0" w:firstLine="5120" w:firstLineChars="16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重庆市开州区司法局</w:t>
      </w:r>
    </w:p>
    <w:p w14:paraId="52AD6C30">
      <w:pPr>
        <w:keepNext w:val="0"/>
        <w:keepLines w:val="0"/>
        <w:pageBreakBefore w:val="0"/>
        <w:widowControl w:val="0"/>
        <w:kinsoku/>
        <w:wordWrap/>
        <w:overflowPunct/>
        <w:topLinePunct w:val="0"/>
        <w:autoSpaceDE/>
        <w:autoSpaceDN/>
        <w:bidi w:val="0"/>
        <w:adjustRightInd/>
        <w:snapToGrid/>
        <w:spacing w:line="600" w:lineRule="exact"/>
        <w:ind w:left="0" w:firstLine="5440" w:firstLineChars="17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2026年3月10日</w:t>
      </w:r>
    </w:p>
    <w:p w14:paraId="65555EE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4AD33527">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3758D095">
      <w:pPr>
        <w:spacing w:line="560" w:lineRule="exact"/>
        <w:jc w:val="center"/>
        <w:rPr>
          <w:rFonts w:hint="default" w:ascii="Times New Roman" w:hAnsi="Times New Roman" w:eastAsia="方正仿宋_GBK" w:cs="Times New Roman"/>
          <w:sz w:val="32"/>
          <w:szCs w:val="32"/>
          <w:highlight w:val="none"/>
        </w:rPr>
      </w:pPr>
    </w:p>
    <w:p w14:paraId="7E5610F6">
      <w:pPr>
        <w:spacing w:line="640" w:lineRule="exact"/>
        <w:jc w:val="center"/>
        <w:rPr>
          <w:rFonts w:hint="default" w:ascii="Times New Roman" w:hAnsi="Times New Roman" w:eastAsia="方正仿宋_GBK" w:cs="Times New Roman"/>
          <w:sz w:val="32"/>
          <w:szCs w:val="32"/>
          <w:highlight w:val="none"/>
        </w:rPr>
      </w:pPr>
    </w:p>
    <w:p w14:paraId="39AE75C8">
      <w:pPr>
        <w:tabs>
          <w:tab w:val="left" w:pos="1440"/>
        </w:tabs>
        <w:spacing w:line="640" w:lineRule="exact"/>
        <w:rPr>
          <w:rFonts w:hint="default" w:ascii="Times New Roman" w:hAnsi="Times New Roman" w:eastAsia="方正仿宋_GBK" w:cs="Times New Roman"/>
          <w:sz w:val="32"/>
          <w:szCs w:val="32"/>
          <w:highlight w:val="none"/>
        </w:rPr>
      </w:pPr>
    </w:p>
    <w:p w14:paraId="4D721CF3">
      <w:pPr>
        <w:pStyle w:val="2"/>
        <w:rPr>
          <w:rFonts w:hint="default"/>
        </w:rPr>
      </w:pPr>
    </w:p>
    <w:p w14:paraId="1FD44017">
      <w:pPr>
        <w:tabs>
          <w:tab w:val="left" w:pos="1440"/>
        </w:tabs>
        <w:spacing w:line="640" w:lineRule="exact"/>
        <w:rPr>
          <w:rFonts w:hint="default" w:ascii="Times New Roman" w:hAnsi="Times New Roman" w:eastAsia="方正仿宋_GBK" w:cs="Times New Roman"/>
          <w:sz w:val="32"/>
          <w:szCs w:val="32"/>
          <w:highlight w:val="none"/>
        </w:rPr>
      </w:pPr>
    </w:p>
    <w:p w14:paraId="13F297FF">
      <w:pPr>
        <w:rPr>
          <w:rFonts w:hint="default"/>
        </w:rPr>
      </w:pPr>
    </w:p>
    <w:p w14:paraId="3BBF5681">
      <w:pPr>
        <w:keepNext w:val="0"/>
        <w:keepLines w:val="0"/>
        <w:pageBreakBefore w:val="0"/>
        <w:widowControl w:val="0"/>
        <w:pBdr>
          <w:top w:val="single" w:color="auto" w:sz="8" w:space="1"/>
          <w:bottom w:val="single" w:color="auto" w:sz="8" w:space="1"/>
        </w:pBdr>
        <w:kinsoku/>
        <w:wordWrap/>
        <w:overflowPunct/>
        <w:topLinePunct/>
        <w:autoSpaceDE/>
        <w:autoSpaceDN/>
        <w:bidi w:val="0"/>
        <w:adjustRightInd/>
        <w:snapToGrid/>
        <w:spacing w:line="560" w:lineRule="exact"/>
        <w:ind w:left="0" w:leftChars="0" w:firstLine="280" w:firstLineChars="100"/>
        <w:jc w:val="both"/>
        <w:textAlignment w:val="auto"/>
        <w:rPr>
          <w:rFonts w:hint="default"/>
        </w:rPr>
      </w:pPr>
      <w:r>
        <w:rPr>
          <w:rFonts w:hint="default" w:ascii="Times New Roman" w:hAnsi="Times New Roman" w:eastAsia="方正仿宋_GBK" w:cs="Times New Roman"/>
          <w:sz w:val="28"/>
          <w:szCs w:val="28"/>
        </w:rPr>
        <w:t>重庆市开州区</w:t>
      </w:r>
      <w:r>
        <w:rPr>
          <w:rFonts w:hint="default" w:ascii="Times New Roman" w:hAnsi="Times New Roman" w:eastAsia="方正仿宋_GBK" w:cs="Times New Roman"/>
          <w:sz w:val="28"/>
          <w:szCs w:val="28"/>
          <w:lang w:val="en-US" w:eastAsia="zh-CN"/>
        </w:rPr>
        <w:t>司法局</w:t>
      </w:r>
      <w:r>
        <w:rPr>
          <w:rFonts w:hint="eastAsia" w:ascii="Times New Roman" w:hAnsi="Times New Roman" w:eastAsia="方正仿宋_GBK" w:cs="Times New Roman"/>
          <w:sz w:val="28"/>
          <w:szCs w:val="28"/>
          <w:lang w:val="en-US" w:eastAsia="zh-CN"/>
        </w:rPr>
        <w:t>办公室</w:t>
      </w:r>
      <w:r>
        <w:rPr>
          <w:rFonts w:hint="default" w:ascii="Times New Roman" w:hAnsi="Times New Roman" w:eastAsia="方正仿宋_GBK" w:cs="Times New Roman"/>
          <w:sz w:val="28"/>
          <w:szCs w:val="28"/>
        </w:rPr>
        <w:t xml:space="preserve">                 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10</w:t>
      </w:r>
      <w:bookmarkStart w:id="2" w:name="_GoBack"/>
      <w:bookmarkEnd w:id="2"/>
      <w:r>
        <w:rPr>
          <w:rFonts w:hint="default" w:ascii="Times New Roman" w:hAnsi="Times New Roman" w:eastAsia="方正仿宋_GBK" w:cs="Times New Roman"/>
          <w:sz w:val="28"/>
          <w:szCs w:val="28"/>
        </w:rPr>
        <w:t>日印发</w:t>
      </w: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SI宋体-GB2312"/>
    <w:panose1 w:val="02020603050405020304"/>
    <w:charset w:val="86"/>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ESI宋体-GB2312">
    <w:panose1 w:val="02000500000000000000"/>
    <w:charset w:val="86"/>
    <w:family w:val="auto"/>
    <w:pitch w:val="default"/>
    <w:sig w:usb0="800002AF" w:usb1="08476CF8" w:usb2="00000010" w:usb3="00000000" w:csb0="0004000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 w:name="方正仿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CESI楷体-GB13000"/>
    <w:panose1 w:val="00000000000000000000"/>
    <w:charset w:val="00"/>
    <w:family w:val="auto"/>
    <w:pitch w:val="default"/>
    <w:sig w:usb0="00000000" w:usb1="00000000" w:usb2="00000000" w:usb3="00000000" w:csb0="00000000" w:csb1="00000000"/>
  </w:font>
  <w:font w:name="CESI楷体-GB13000">
    <w:panose1 w:val="02000500000000000000"/>
    <w:charset w:val="86"/>
    <w:family w:val="auto"/>
    <w:pitch w:val="default"/>
    <w:sig w:usb0="800002BF" w:usb1="38CF7CF8" w:usb2="00000016" w:usb3="00000000" w:csb0="0004000F" w:csb1="00000000"/>
  </w:font>
  <w:font w:name="方正小标宋简体">
    <w:altName w:val="CESI小标宋-GB13000"/>
    <w:panose1 w:val="02000000000000000000"/>
    <w:charset w:val="86"/>
    <w:family w:val="auto"/>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方正小标宋_GBK">
    <w:altName w:val="CESI小标宋-GB13000"/>
    <w:panose1 w:val="03000509000000000000"/>
    <w:charset w:val="86"/>
    <w:family w:val="auto"/>
    <w:pitch w:val="default"/>
    <w:sig w:usb0="00000000" w:usb1="00000000" w:usb2="00000000" w:usb3="00000000" w:csb0="00040000" w:csb1="00000000"/>
  </w:font>
  <w:font w:name="方正楷体_GBK">
    <w:altName w:val="CESI楷体-GB13000"/>
    <w:panose1 w:val="03000509000000000000"/>
    <w:charset w:val="86"/>
    <w:family w:val="auto"/>
    <w:pitch w:val="default"/>
    <w:sig w:usb0="00000000" w:usb1="00000000" w:usb2="00000000" w:usb3="00000000" w:csb0="00040000" w:csb1="00000000"/>
  </w:font>
  <w:font w:name="方正黑体_GBK">
    <w:altName w:val="CESI黑体-GB13000"/>
    <w:panose1 w:val="03000509000000000000"/>
    <w:charset w:val="86"/>
    <w:family w:val="auto"/>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仿宋">
    <w:altName w:val="方正仿宋_GBK"/>
    <w:panose1 w:val="02010609060101010101"/>
    <w:charset w:val="86"/>
    <w:family w:val="auto"/>
    <w:pitch w:val="default"/>
    <w:sig w:usb0="00000000" w:usb1="00000000" w:usb2="00000016" w:usb3="00000000" w:csb0="00040001"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E6CE">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-109220</wp:posOffset>
              </wp:positionV>
              <wp:extent cx="702310" cy="2552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2310" cy="25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88D3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8.6pt;height:20.1pt;width:55.3pt;mso-position-horizontal-relative:margin;z-index:251659264;mso-width-relative:page;mso-height-relative:page;" filled="f" stroked="f" coordsize="21600,21600" o:gfxdata="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NG8H1QAAAAcBAAAPAAAAAAAAAAEAIAAAACIAAABkcnMvZG93bnJldi54&#10;bWxQSwECFAAUAAAACACHTuJAMSgpEDYCAABhBAAADgAAAAAAAAABACAAAAAkAQAAZHJzL2Uyb0Rv&#10;Yy54bWxQSwUGAAAAAAYABgBZAQAAzAUAAAAA&#10;">
              <v:fill on="f" focussize="0,0"/>
              <v:stroke on="f" weight="0.5pt"/>
              <v:imagedata o:title=""/>
              <o:lock v:ext="edit" aspectratio="f"/>
              <v:textbox inset="0mm,0mm,0mm,0mm">
                <w:txbxContent>
                  <w:p w14:paraId="46D88D3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47CAD"/>
    <w:rsid w:val="016027F7"/>
    <w:rsid w:val="07945B32"/>
    <w:rsid w:val="08785772"/>
    <w:rsid w:val="08AB6853"/>
    <w:rsid w:val="09494D55"/>
    <w:rsid w:val="0AA10E5A"/>
    <w:rsid w:val="0AF8461B"/>
    <w:rsid w:val="0B94572A"/>
    <w:rsid w:val="0D8458C4"/>
    <w:rsid w:val="0DF108BC"/>
    <w:rsid w:val="11DA38EA"/>
    <w:rsid w:val="11FC7D03"/>
    <w:rsid w:val="128D0D77"/>
    <w:rsid w:val="13980DFA"/>
    <w:rsid w:val="14664623"/>
    <w:rsid w:val="16105D1D"/>
    <w:rsid w:val="1F8578ED"/>
    <w:rsid w:val="1F9B373A"/>
    <w:rsid w:val="2102254C"/>
    <w:rsid w:val="25FC3382"/>
    <w:rsid w:val="26A34BB6"/>
    <w:rsid w:val="27755B02"/>
    <w:rsid w:val="27902E1F"/>
    <w:rsid w:val="27E234BC"/>
    <w:rsid w:val="284D03FE"/>
    <w:rsid w:val="2B92022A"/>
    <w:rsid w:val="2E9574DA"/>
    <w:rsid w:val="30177460"/>
    <w:rsid w:val="31475C3D"/>
    <w:rsid w:val="34714E4F"/>
    <w:rsid w:val="350D65F0"/>
    <w:rsid w:val="39444501"/>
    <w:rsid w:val="3CAF0446"/>
    <w:rsid w:val="3DA51F3E"/>
    <w:rsid w:val="3F5E5225"/>
    <w:rsid w:val="43D648A7"/>
    <w:rsid w:val="442708F5"/>
    <w:rsid w:val="45D34423"/>
    <w:rsid w:val="48E01D1C"/>
    <w:rsid w:val="4A623F3E"/>
    <w:rsid w:val="4B963850"/>
    <w:rsid w:val="4FF365C3"/>
    <w:rsid w:val="50F76E43"/>
    <w:rsid w:val="54847D2C"/>
    <w:rsid w:val="54FD7BB5"/>
    <w:rsid w:val="595079D6"/>
    <w:rsid w:val="5B147CAD"/>
    <w:rsid w:val="5B230B14"/>
    <w:rsid w:val="5C657042"/>
    <w:rsid w:val="5E0B403E"/>
    <w:rsid w:val="5F3279E6"/>
    <w:rsid w:val="5F4F46C4"/>
    <w:rsid w:val="611F0F53"/>
    <w:rsid w:val="61925FE3"/>
    <w:rsid w:val="62324BF8"/>
    <w:rsid w:val="62DC4040"/>
    <w:rsid w:val="66493ACD"/>
    <w:rsid w:val="67DF13D9"/>
    <w:rsid w:val="686376CA"/>
    <w:rsid w:val="68C429A8"/>
    <w:rsid w:val="691B0000"/>
    <w:rsid w:val="6ACA4A00"/>
    <w:rsid w:val="6B4B04D0"/>
    <w:rsid w:val="6CCD1611"/>
    <w:rsid w:val="708D3A93"/>
    <w:rsid w:val="73C252D7"/>
    <w:rsid w:val="76991F06"/>
    <w:rsid w:val="77BDF4CB"/>
    <w:rsid w:val="782A5B6A"/>
    <w:rsid w:val="78E41794"/>
    <w:rsid w:val="7BD427EF"/>
    <w:rsid w:val="7F0F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Calibri" w:hAnsi="Calibri"/>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line="594" w:lineRule="exact"/>
      <w:ind w:firstLine="880" w:firstLineChars="200"/>
    </w:pPr>
    <w:rPr>
      <w:rFonts w:eastAsia="方正仿宋_GBK"/>
      <w:szCs w:val="24"/>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24"/>
    <w:basedOn w:val="8"/>
    <w:qFormat/>
    <w:uiPriority w:val="0"/>
    <w:rPr>
      <w:rFonts w:hint="default" w:ascii="Times New Roman" w:hAnsi="Times New Roman" w:eastAsia="楷体_GB2312" w:cs="楷体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8b33ed65-e3af-4cba-888f-e989a0dccf9f</errorID>
      <errorWord xmlns="http://schemas.wps.cn/vas-ai-hub/contract-review">一般公共预算拨款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一般公共预算财政拨款</item>
      </candidateList>
      <explain xmlns="http://schemas.wps.cn/vas-ai-hub/contract-review">词汇“一般公共预算财政拨款”在特定场景下为固定表述形式，请确认此处的“一般公共预算拨款”是否存在不当。</explain>
      <paraID xmlns="http://schemas.wps.cn/vas-ai-hub/contract-review">475E02DA</paraID>
      <start xmlns="http://schemas.wps.cn/vas-ai-hub/contract-review">38</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f5cbe4dd-0911-4073-8153-9e57f13e9b85</errorID>
      <errorWord xmlns="http://schemas.wps.cn/vas-ai-hub/contract-review">一般公共预算拨款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一般公共预算财政拨款</item>
      </candidateList>
      <explain xmlns="http://schemas.wps.cn/vas-ai-hub/contract-review">词汇“一般公共预算财政拨款”在特定场景下为固定表述形式，请确认此处的“一般公共预算拨款”是否存在不当。</explain>
      <paraID xmlns="http://schemas.wps.cn/vas-ai-hub/contract-review">526033BF</paraID>
      <start xmlns="http://schemas.wps.cn/vas-ai-hub/contract-review">67</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ab9696df-4d4b-44ce-9129-4558f819e294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5E7222DD</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1e487703-d79c-4435-9483-e30d49643171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5E7222DD</paraID>
      <start xmlns="http://schemas.wps.cn/vas-ai-hub/contract-review">29</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fe5f2-594c-471b-9f1e-63ffbfb2811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2158</Words>
  <Characters>2332</Characters>
  <Lines>0</Lines>
  <Paragraphs>0</Paragraphs>
  <TotalTime>9</TotalTime>
  <ScaleCrop>false</ScaleCrop>
  <LinksUpToDate>false</LinksUpToDate>
  <CharactersWithSpaces>2371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2026-02-25T18:42:00Z</dcterms:created>
  <dc:creator>LXJ</dc:creator>
  <cp:lastModifiedBy>user</cp:lastModifiedBy>
  <dcterms:modified xsi:type="dcterms:W3CDTF">2026-03-10T11:47:17Z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2BFA585B41F044D0908BF594C5EA8521_11</vt:lpwstr>
  </property>
  <property fmtid="{D5CDD505-2E9C-101B-9397-08002B2CF9AE}" pid="4" name="KSOTemplateDocerSaveRecord">
    <vt:lpwstr>eyJoZGlkIjoiNjBlY2Q2NDBiMDU1YTZjZTYyZTZmYWEzOWE2YTI1ZGYiLCJ1c2VySWQiOiI0NDg3NjUxNzkifQ==</vt:lpwstr>
  </property>
</Properties>
</file>