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8857" w:type="dxa"/>
        <w:jc w:val="center"/>
        <w:tblLayout w:type="fixed"/>
        <w:tblCellMar>
          <w:top w:w="0" w:type="dxa"/>
          <w:left w:w="108" w:type="dxa"/>
          <w:bottom w:w="0" w:type="dxa"/>
          <w:right w:w="108" w:type="dxa"/>
        </w:tblCellMar>
      </w:tblPr>
      <w:tblGrid>
        <w:gridCol w:w="8857"/>
      </w:tblGrid>
      <w:tr w14:paraId="16945B11">
        <w:tblPrEx>
          <w:tblCellMar>
            <w:top w:w="0" w:type="dxa"/>
            <w:left w:w="108" w:type="dxa"/>
            <w:bottom w:w="0" w:type="dxa"/>
            <w:right w:w="108" w:type="dxa"/>
          </w:tblCellMar>
        </w:tblPrEx>
        <w:trPr>
          <w:trHeight w:val="600" w:hRule="atLeast"/>
          <w:jc w:val="center"/>
        </w:trPr>
        <w:tc>
          <w:tcPr>
            <w:tcW w:w="8857" w:type="dxa"/>
            <w:noWrap w:val="0"/>
            <w:vAlign w:val="top"/>
          </w:tcPr>
          <w:p w14:paraId="0C2B52F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ascii="Times New Roman" w:hAnsi="Times New Roman"/>
              </w:rPr>
            </w:pPr>
            <w:bookmarkStart w:id="0" w:name="OLE_LINK4"/>
          </w:p>
        </w:tc>
      </w:tr>
      <w:tr w14:paraId="74D77DDA">
        <w:trPr>
          <w:trHeight w:val="638" w:hRule="exact"/>
          <w:jc w:val="center"/>
        </w:trPr>
        <w:tc>
          <w:tcPr>
            <w:tcW w:w="8857" w:type="dxa"/>
            <w:noWrap w:val="0"/>
            <w:vAlign w:val="center"/>
          </w:tcPr>
          <w:p w14:paraId="350C5AE6">
            <w:pPr>
              <w:keepNext w:val="0"/>
              <w:keepLines w:val="0"/>
              <w:pageBreakBefore w:val="0"/>
              <w:widowControl w:val="0"/>
              <w:kinsoku/>
              <w:wordWrap/>
              <w:overflowPunct/>
              <w:topLinePunct w:val="0"/>
              <w:autoSpaceDE/>
              <w:autoSpaceDN/>
              <w:bidi w:val="0"/>
              <w:adjustRightInd/>
              <w:snapToGrid/>
              <w:spacing w:beforeAutospacing="0" w:afterAutospacing="0"/>
              <w:ind w:firstLine="510"/>
              <w:jc w:val="center"/>
              <w:textAlignment w:val="auto"/>
              <w:rPr>
                <w:rFonts w:ascii="Times New Roman" w:hAnsi="Times New Roman" w:eastAsia="方正小标宋简体"/>
                <w:color w:val="FF0000"/>
                <w:w w:val="80"/>
              </w:rPr>
            </w:pPr>
          </w:p>
        </w:tc>
      </w:tr>
      <w:tr w14:paraId="3FB077BF">
        <w:trPr>
          <w:trHeight w:val="2182" w:hRule="exact"/>
          <w:jc w:val="center"/>
        </w:trPr>
        <w:tc>
          <w:tcPr>
            <w:tcW w:w="8857" w:type="dxa"/>
            <w:noWrap w:val="0"/>
            <w:vAlign w:val="center"/>
          </w:tcPr>
          <w:p w14:paraId="48292EE7">
            <w:pPr>
              <w:keepNext w:val="0"/>
              <w:keepLines w:val="0"/>
              <w:pageBreakBefore w:val="0"/>
              <w:widowControl w:val="0"/>
              <w:kinsoku/>
              <w:wordWrap/>
              <w:overflowPunct/>
              <w:topLinePunct w:val="0"/>
              <w:autoSpaceDE/>
              <w:autoSpaceDN/>
              <w:bidi w:val="0"/>
              <w:adjustRightInd/>
              <w:snapToGrid/>
              <w:spacing w:beforeAutospacing="0" w:afterAutospacing="0" w:line="720" w:lineRule="auto"/>
              <w:ind w:firstLine="0" w:firstLineChars="0"/>
              <w:jc w:val="distribute"/>
              <w:textAlignment w:val="auto"/>
              <w:rPr>
                <w:rFonts w:ascii="Times New Roman" w:hAnsi="Times New Roman" w:eastAsia="方正小标宋_GBK"/>
                <w:b/>
                <w:snapToGrid w:val="0"/>
                <w:color w:val="FF0000"/>
                <w:w w:val="60"/>
                <w:kern w:val="0"/>
                <w:sz w:val="132"/>
                <w:szCs w:val="132"/>
              </w:rPr>
            </w:pPr>
            <w:r>
              <w:rPr>
                <w:rFonts w:hint="eastAsia" w:ascii="Times New Roman" w:hAnsi="Times New Roman" w:eastAsia="方正小标宋_GBK"/>
                <w:b/>
                <w:snapToGrid w:val="0"/>
                <w:color w:val="FF0000"/>
                <w:w w:val="58"/>
                <w:kern w:val="0"/>
                <w:sz w:val="132"/>
                <w:szCs w:val="132"/>
              </w:rPr>
              <w:t>重庆市开州区司法局</w:t>
            </w:r>
          </w:p>
          <w:p w14:paraId="3B00617F">
            <w:pPr>
              <w:keepNext w:val="0"/>
              <w:keepLines w:val="0"/>
              <w:pageBreakBefore w:val="0"/>
              <w:widowControl w:val="0"/>
              <w:kinsoku/>
              <w:wordWrap/>
              <w:overflowPunct/>
              <w:topLinePunct w:val="0"/>
              <w:autoSpaceDE/>
              <w:autoSpaceDN/>
              <w:bidi w:val="0"/>
              <w:adjustRightInd/>
              <w:snapToGrid/>
              <w:spacing w:beforeAutospacing="0" w:afterAutospacing="0"/>
              <w:ind w:firstLine="2458"/>
              <w:jc w:val="center"/>
              <w:textAlignment w:val="auto"/>
              <w:rPr>
                <w:rFonts w:ascii="Times New Roman" w:hAnsi="Times New Roman" w:eastAsia="方正小标宋_GBK"/>
                <w:b/>
                <w:color w:val="FF3300"/>
                <w:spacing w:val="252"/>
                <w:w w:val="56"/>
                <w:sz w:val="128"/>
                <w:szCs w:val="128"/>
              </w:rPr>
            </w:pPr>
          </w:p>
        </w:tc>
      </w:tr>
      <w:tr w14:paraId="4D7A5215">
        <w:trPr>
          <w:trHeight w:val="1361" w:hRule="exact"/>
          <w:jc w:val="center"/>
        </w:trPr>
        <w:tc>
          <w:tcPr>
            <w:tcW w:w="8857" w:type="dxa"/>
            <w:noWrap w:val="0"/>
            <w:vAlign w:val="bottom"/>
          </w:tcPr>
          <w:p w14:paraId="304E573D">
            <w:pPr>
              <w:keepNext w:val="0"/>
              <w:keepLines w:val="0"/>
              <w:pageBreakBefore w:val="0"/>
              <w:widowControl w:val="0"/>
              <w:pBdr>
                <w:top w:val="none" w:color="auto" w:sz="0" w:space="1"/>
                <w:left w:val="none" w:color="auto" w:sz="0" w:space="4"/>
                <w:bottom w:val="single" w:color="FF0000" w:sz="24" w:space="1"/>
                <w:right w:val="none" w:color="auto" w:sz="0" w:space="4"/>
              </w:pBdr>
              <w:kinsoku/>
              <w:wordWrap/>
              <w:overflowPunct/>
              <w:topLinePunct w:val="0"/>
              <w:autoSpaceDE/>
              <w:autoSpaceDN/>
              <w:bidi w:val="0"/>
              <w:adjustRightInd/>
              <w:snapToGrid/>
              <w:spacing w:beforeAutospacing="0" w:afterAutospacing="0" w:line="520" w:lineRule="exact"/>
              <w:ind w:firstLine="320" w:firstLineChars="100"/>
              <w:textAlignment w:val="auto"/>
              <w:rPr>
                <w:rFonts w:hint="eastAsia" w:ascii="Times New Roman" w:hAnsi="Times New Roman" w:eastAsia="方正楷体_GBK"/>
                <w:color w:val="000000"/>
                <w:sz w:val="32"/>
                <w:szCs w:val="32"/>
                <w:lang w:eastAsia="zh-CN"/>
              </w:rPr>
            </w:pPr>
            <w:r>
              <w:rPr>
                <w:rFonts w:hint="default" w:ascii="Times New Roman" w:hAnsi="Times New Roman" w:eastAsia="方正仿宋_GBK" w:cs="Times New Roman"/>
                <w:snapToGrid w:val="0"/>
                <w:sz w:val="32"/>
                <w:szCs w:val="32"/>
              </w:rPr>
              <w:t>开州司文</w:t>
            </w:r>
            <w:r>
              <w:rPr>
                <w:rFonts w:hint="eastAsia" w:ascii="Times New Roman" w:hAnsi="Times New Roman" w:eastAsia="方正仿宋_GBK" w:cs="方正仿宋_GBK"/>
                <w:color w:val="000000"/>
                <w:sz w:val="32"/>
                <w:szCs w:val="32"/>
              </w:rPr>
              <w:t>〔</w:t>
            </w:r>
            <w:r>
              <w:rPr>
                <w:rFonts w:hint="default" w:ascii="Times New Roman" w:hAnsi="Times New Roman" w:cs="Times New Roman"/>
                <w:color w:val="000000"/>
                <w:sz w:val="32"/>
                <w:szCs w:val="32"/>
              </w:rPr>
              <w:t>202</w:t>
            </w:r>
            <w:r>
              <w:rPr>
                <w:rFonts w:hint="eastAsia" w:ascii="Times New Roman" w:hAnsi="Times New Roman" w:cs="Times New Roman"/>
                <w:color w:val="000000"/>
                <w:sz w:val="32"/>
                <w:szCs w:val="32"/>
                <w:lang w:val="en-US" w:eastAsia="zh-CN"/>
              </w:rPr>
              <w:t>6</w:t>
            </w:r>
            <w:r>
              <w:rPr>
                <w:rFonts w:hint="eastAsia" w:ascii="Times New Roman" w:hAnsi="Times New Roman" w:eastAsia="方正仿宋_GBK" w:cs="方正仿宋_GBK"/>
                <w:color w:val="000000"/>
                <w:sz w:val="32"/>
                <w:szCs w:val="32"/>
              </w:rPr>
              <w:t>〕</w:t>
            </w:r>
            <w:r>
              <w:rPr>
                <w:rFonts w:hint="eastAsia" w:ascii="Times New Roman" w:hAnsi="Times New Roman" w:cs="Times New Roman"/>
                <w:color w:val="000000"/>
                <w:sz w:val="32"/>
                <w:szCs w:val="32"/>
                <w:lang w:val="en-US" w:eastAsia="zh-CN"/>
              </w:rPr>
              <w:t>4</w:t>
            </w:r>
            <w:r>
              <w:rPr>
                <w:rFonts w:hint="default" w:ascii="Times New Roman" w:hAnsi="Times New Roman" w:eastAsia="方正仿宋_GBK" w:cs="Times New Roman"/>
                <w:snapToGrid w:val="0"/>
                <w:sz w:val="32"/>
                <w:szCs w:val="32"/>
              </w:rPr>
              <w:t>号</w:t>
            </w:r>
            <w:r>
              <w:rPr>
                <w:rFonts w:ascii="Times New Roman" w:hAnsi="Times New Roman"/>
                <w:color w:val="000000"/>
                <w:sz w:val="32"/>
                <w:szCs w:val="32"/>
              </w:rPr>
              <w:t xml:space="preserve">            </w:t>
            </w:r>
            <w:r>
              <w:rPr>
                <w:rFonts w:hint="eastAsia" w:ascii="Times New Roman" w:hAnsi="Times New Roman"/>
                <w:color w:val="000000"/>
                <w:sz w:val="32"/>
                <w:szCs w:val="32"/>
              </w:rPr>
              <w:t xml:space="preserve"> </w:t>
            </w:r>
            <w:r>
              <w:rPr>
                <w:rFonts w:ascii="Times New Roman" w:hAnsi="Times New Roman"/>
                <w:color w:val="000000"/>
                <w:sz w:val="32"/>
                <w:szCs w:val="32"/>
              </w:rPr>
              <w:t xml:space="preserve">  </w:t>
            </w:r>
            <w:r>
              <w:rPr>
                <w:rFonts w:hint="eastAsia" w:ascii="Times New Roman" w:hAnsi="Times New Roman"/>
                <w:color w:val="000000"/>
                <w:sz w:val="32"/>
                <w:szCs w:val="32"/>
              </w:rPr>
              <w:t xml:space="preserve"> </w:t>
            </w:r>
            <w:r>
              <w:rPr>
                <w:rFonts w:hint="default" w:ascii="Times New Roman" w:hAnsi="Times New Roman" w:eastAsia="方正仿宋_GBK" w:cs="Times New Roman"/>
                <w:snapToGrid w:val="0"/>
                <w:sz w:val="32"/>
                <w:szCs w:val="32"/>
              </w:rPr>
              <w:t>签发人</w:t>
            </w:r>
            <w:r>
              <w:rPr>
                <w:rFonts w:ascii="Times New Roman" w:hAnsi="Times New Roman"/>
                <w:color w:val="000000"/>
                <w:sz w:val="32"/>
                <w:szCs w:val="32"/>
              </w:rPr>
              <w:t>：</w:t>
            </w:r>
            <w:r>
              <w:rPr>
                <w:rFonts w:hint="eastAsia" w:ascii="Times New Roman" w:hAnsi="Times New Roman" w:eastAsia="方正楷体_GBK" w:cs="方正楷体_GBK"/>
                <w:color w:val="000000"/>
                <w:sz w:val="32"/>
                <w:szCs w:val="32"/>
                <w:lang w:val="en-US" w:eastAsia="zh-CN"/>
              </w:rPr>
              <w:t>雷平</w:t>
            </w:r>
          </w:p>
          <w:p w14:paraId="4547EDE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1040"/>
              <w:jc w:val="both"/>
              <w:textAlignment w:val="auto"/>
              <w:rPr>
                <w:rFonts w:ascii="Times New Roman" w:hAnsi="Times New Roman"/>
                <w:color w:val="FF3300"/>
                <w:sz w:val="52"/>
                <w:szCs w:val="52"/>
              </w:rPr>
            </w:pPr>
          </w:p>
        </w:tc>
      </w:tr>
    </w:tbl>
    <w:p w14:paraId="3A963515">
      <w:pPr>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ascii="Times New Roman" w:hAnsi="Times New Roman"/>
        </w:rPr>
      </w:pPr>
    </w:p>
    <w:p w14:paraId="6395620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Times New Roman" w:hAnsi="Times New Roman"/>
        </w:rPr>
      </w:pPr>
      <w:r>
        <w:rPr>
          <w:rFonts w:ascii="Times New Roman" w:hAnsi="Times New Roman" w:eastAsia="方正小标宋_GBK"/>
          <w:color w:val="000000"/>
          <w:sz w:val="44"/>
          <w:szCs w:val="44"/>
        </w:rPr>
        <w:t>重庆市开州区</w:t>
      </w:r>
      <w:r>
        <w:rPr>
          <w:rFonts w:hint="eastAsia" w:ascii="Times New Roman" w:hAnsi="Times New Roman" w:eastAsia="方正小标宋_GBK"/>
          <w:color w:val="000000"/>
          <w:sz w:val="44"/>
          <w:szCs w:val="44"/>
          <w:lang w:val="en-US" w:eastAsia="zh-CN"/>
        </w:rPr>
        <w:t>司法局</w:t>
      </w:r>
      <w:bookmarkEnd w:id="0"/>
    </w:p>
    <w:p w14:paraId="3B45934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Times New Roman" w:hAnsi="Times New Roman" w:eastAsia="方正小标宋_GBK"/>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ascii="Times New Roman" w:hAnsi="Times New Roman" w:eastAsia="方正小标宋_GBK"/>
          <w:color w:val="000000"/>
          <w:sz w:val="44"/>
          <w:szCs w:val="44"/>
          <w:highlight w:val="none"/>
        </w:rPr>
        <w:t>重庆市开州区</w:t>
      </w:r>
      <w:r>
        <w:rPr>
          <w:rFonts w:hint="eastAsia" w:ascii="Times New Roman" w:hAnsi="Times New Roman" w:eastAsia="方正小标宋_GBK"/>
          <w:color w:val="000000"/>
          <w:sz w:val="44"/>
          <w:szCs w:val="44"/>
          <w:highlight w:val="none"/>
          <w:lang w:val="en-US" w:eastAsia="zh-CN"/>
        </w:rPr>
        <w:t>司法局（本级）</w:t>
      </w:r>
      <w:r>
        <w:rPr>
          <w:rFonts w:hint="eastAsia" w:ascii="Times New Roman" w:hAnsi="Times New Roman" w:eastAsia="方正小标宋_GBK"/>
          <w:sz w:val="44"/>
          <w:szCs w:val="44"/>
          <w:highlight w:val="none"/>
          <w:lang w:val="en-US" w:eastAsia="zh-CN"/>
        </w:rPr>
        <w:t>2026</w:t>
      </w:r>
      <w:r>
        <w:rPr>
          <w:rFonts w:ascii="Times New Roman" w:hAnsi="Times New Roman" w:eastAsia="方正小标宋_GBK"/>
          <w:sz w:val="44"/>
          <w:szCs w:val="44"/>
          <w:highlight w:val="none"/>
        </w:rPr>
        <w:t>年部门预算情况公开的</w:t>
      </w:r>
      <w:r>
        <w:rPr>
          <w:rFonts w:hint="eastAsia" w:ascii="Times New Roman" w:hAnsi="Times New Roman" w:eastAsia="方正小标宋_GBK"/>
          <w:sz w:val="44"/>
          <w:szCs w:val="44"/>
          <w:highlight w:val="none"/>
          <w:lang w:val="en-US" w:eastAsia="zh-CN"/>
        </w:rPr>
        <w:t>公告</w:t>
      </w:r>
    </w:p>
    <w:p w14:paraId="230C8F3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2F7F6D3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司法</w:t>
      </w:r>
      <w:r>
        <w:rPr>
          <w:rFonts w:hint="default" w:ascii="Times New Roman" w:hAnsi="Times New Roman" w:eastAsia="方正仿宋_GBK" w:cs="Times New Roman"/>
          <w:sz w:val="32"/>
          <w:szCs w:val="32"/>
          <w:highlight w:val="none"/>
        </w:rPr>
        <w:t>局《关于批复</w:t>
      </w:r>
      <w:r>
        <w:rPr>
          <w:rFonts w:hint="eastAsia" w:ascii="Times New Roman" w:hAnsi="Times New Roman" w:eastAsia="方正仿宋_GBK" w:cs="Times New Roman"/>
          <w:sz w:val="32"/>
          <w:szCs w:val="32"/>
          <w:highlight w:val="none"/>
        </w:rPr>
        <w:t>重庆市开州区司法局（本级）2026年预算的通知</w:t>
      </w:r>
      <w:r>
        <w:rPr>
          <w:rFonts w:hint="default" w:ascii="Times New Roman" w:hAnsi="Times New Roman" w:eastAsia="方正仿宋_GBK" w:cs="Times New Roman"/>
          <w:sz w:val="32"/>
          <w:szCs w:val="32"/>
          <w:highlight w:val="none"/>
        </w:rPr>
        <w:t>》（开</w:t>
      </w:r>
      <w:r>
        <w:rPr>
          <w:rFonts w:hint="eastAsia" w:ascii="Times New Roman" w:hAnsi="Times New Roman" w:eastAsia="方正仿宋_GBK" w:cs="Times New Roman"/>
          <w:sz w:val="32"/>
          <w:szCs w:val="32"/>
          <w:highlight w:val="none"/>
          <w:lang w:val="en-US" w:eastAsia="zh-CN"/>
        </w:rPr>
        <w:t>州司发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0657FE4C">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7156FF4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261C32E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p>
    <w:p w14:paraId="5756B56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6A7CC6D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4F05503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14A3BBB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5081BB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2A2E2B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2F15B3D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0459189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四、</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经费情况说明</w:t>
      </w:r>
    </w:p>
    <w:p w14:paraId="5576845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5F4264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01E17D02">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p>
    <w:p w14:paraId="40FCAE1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59D69E9B">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7375279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收支预算总表</w:t>
      </w:r>
    </w:p>
    <w:p w14:paraId="29502B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收入总表</w:t>
      </w:r>
    </w:p>
    <w:p w14:paraId="5C6560B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本年支出预算总表</w:t>
      </w:r>
    </w:p>
    <w:p w14:paraId="40799F8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财政拨款收支预算总表</w:t>
      </w:r>
    </w:p>
    <w:p w14:paraId="0B8775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本年一般公共预算支出预算表</w:t>
      </w:r>
    </w:p>
    <w:p w14:paraId="32E8876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一般公共预算基本支出预算表</w:t>
      </w:r>
    </w:p>
    <w:p w14:paraId="49CB3E4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一般公共预算</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经费支出预算表</w:t>
      </w:r>
    </w:p>
    <w:p w14:paraId="1F2A9F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政府性基金预算支出预算表</w:t>
      </w:r>
    </w:p>
    <w:p w14:paraId="4D462EC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国有资本经营预算支出预算表</w:t>
      </w:r>
    </w:p>
    <w:p w14:paraId="00ED5E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项目支出表</w:t>
      </w:r>
    </w:p>
    <w:p w14:paraId="205438C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rPr>
        <w:t>项目绩效目标表</w:t>
      </w:r>
    </w:p>
    <w:p w14:paraId="5EAEC48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3270534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508CAEC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79929D1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4DB58BFD">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28F9D8A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4182CAAB">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jc w:val="center"/>
        <w:textAlignment w:val="auto"/>
        <w:rPr>
          <w:rFonts w:hint="default" w:ascii="Times New Roman" w:hAnsi="Times New Roman" w:eastAsia="华文中宋" w:cs="Times New Roman"/>
          <w:sz w:val="44"/>
          <w:szCs w:val="44"/>
          <w:highlight w:val="none"/>
        </w:rPr>
      </w:pPr>
    </w:p>
    <w:p w14:paraId="4D62FF3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16E562A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14:paraId="4EC1E87D">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ascii="Times New Roman" w:hAnsi="Times New Roman" w:eastAsia="方正仿宋_GBK"/>
          <w:sz w:val="32"/>
        </w:rPr>
      </w:pPr>
      <w:r>
        <w:rPr>
          <w:rFonts w:hint="eastAsia" w:ascii="Times New Roman" w:hAnsi="Times New Roman" w:eastAsia="方正仿宋_GBK" w:cs="仿宋_GB2312"/>
          <w:sz w:val="32"/>
          <w:lang w:val="en-US" w:eastAsia="zh-CN"/>
        </w:rPr>
        <w:t>1.</w:t>
      </w:r>
      <w:r>
        <w:rPr>
          <w:rFonts w:hint="eastAsia" w:ascii="Times New Roman" w:hAnsi="Times New Roman" w:eastAsia="方正仿宋_GBK" w:cs="仿宋_GB2312"/>
          <w:sz w:val="32"/>
        </w:rPr>
        <w:t>承担规范性文件管理工作。负责镇乡人民政府、街道办事处和区级部门规范性文件的备案审查工作。组织开展规范性文件清理工作。</w:t>
      </w:r>
      <w:r>
        <w:rPr>
          <w:rFonts w:hint="eastAsia" w:ascii="Times New Roman" w:hAnsi="Times New Roman" w:eastAsia="方正仿宋_GBK" w:cs="仿宋_GB2312"/>
          <w:sz w:val="32"/>
        </w:rPr>
        <w:br w:type="textWrapping"/>
      </w:r>
      <w:r>
        <w:rPr>
          <w:rFonts w:hint="eastAsia" w:ascii="Times New Roman" w:hAnsi="Times New Roman" w:eastAsia="方正仿宋_GBK" w:cs="仿宋_GB2312"/>
          <w:sz w:val="32"/>
        </w:rPr>
        <w:t xml:space="preserve">   </w:t>
      </w:r>
      <w:r>
        <w:rPr>
          <w:rFonts w:hint="eastAsia" w:ascii="Times New Roman" w:hAnsi="Times New Roman" w:eastAsia="方正仿宋_GBK" w:cs="仿宋_GB2312"/>
          <w:sz w:val="32"/>
          <w:lang w:val="en-US" w:eastAsia="zh-CN"/>
        </w:rPr>
        <w:t xml:space="preserve"> 2.</w:t>
      </w:r>
      <w:r>
        <w:rPr>
          <w:rFonts w:hint="eastAsia" w:ascii="Times New Roman" w:hAnsi="Times New Roman" w:eastAsia="方正仿宋_GBK" w:cs="仿宋_GB2312"/>
          <w:sz w:val="32"/>
        </w:rPr>
        <w:t>承担统筹推进法治政府建设的责任。指导、监督全区依法行政工作。承担推进行政执法体制改革有关工作，负责综合协调行政执法，推进严格规范公正文明执法。承办区政府管辖的行政复议、国家赔偿案件，承办区政府有关行政诉讼、行政协调、行政裁决案件和市政府裁决案件。指导、监督全区行政复议、国家赔偿、行政应诉和行政裁决工作。负责全区政府法律顾问工作的指导和协调，承担区政府法律顾问有关工作。</w:t>
      </w:r>
      <w:r>
        <w:rPr>
          <w:rFonts w:hint="eastAsia" w:ascii="Times New Roman" w:hAnsi="Times New Roman" w:eastAsia="方正仿宋_GBK" w:cs="仿宋_GB2312"/>
          <w:sz w:val="32"/>
        </w:rPr>
        <w:br w:type="textWrapping"/>
      </w:r>
      <w:r>
        <w:rPr>
          <w:rFonts w:hint="eastAsia" w:ascii="Times New Roman" w:hAnsi="Times New Roman" w:eastAsia="方正仿宋_GBK" w:cs="仿宋_GB2312"/>
          <w:sz w:val="32"/>
        </w:rPr>
        <w:t xml:space="preserve">  </w:t>
      </w:r>
      <w:r>
        <w:rPr>
          <w:rFonts w:hint="eastAsia" w:ascii="Times New Roman" w:hAnsi="Times New Roman" w:eastAsia="方正仿宋_GBK" w:cs="仿宋_GB2312"/>
          <w:sz w:val="32"/>
          <w:lang w:val="en-US" w:eastAsia="zh-CN"/>
        </w:rPr>
        <w:t xml:space="preserve"> </w:t>
      </w:r>
      <w:r>
        <w:rPr>
          <w:rFonts w:hint="eastAsia" w:ascii="Times New Roman" w:hAnsi="Times New Roman" w:eastAsia="方正仿宋_GBK" w:cs="仿宋_GB2312"/>
          <w:sz w:val="32"/>
        </w:rPr>
        <w:t xml:space="preserve"> </w:t>
      </w:r>
      <w:r>
        <w:rPr>
          <w:rFonts w:hint="eastAsia" w:ascii="Times New Roman" w:hAnsi="Times New Roman" w:eastAsia="方正仿宋_GBK" w:cs="仿宋_GB2312"/>
          <w:sz w:val="32"/>
          <w:lang w:val="en-US" w:eastAsia="zh-CN"/>
        </w:rPr>
        <w:t>3.</w:t>
      </w:r>
      <w:r>
        <w:rPr>
          <w:rFonts w:hint="eastAsia" w:ascii="Times New Roman" w:hAnsi="Times New Roman" w:eastAsia="方正仿宋_GBK" w:cs="仿宋_GB2312"/>
          <w:sz w:val="32"/>
        </w:rPr>
        <w:t>承担统筹规划法治社会建设的责任。负责拟订全区法治宣传教育规划，组织实施普法宣传工作。推动人民参与促进法治建设。指导依法治理和法治创建工作。指导调解工作和人民陪审员、人民监督员选任管理工作，推进司法所建设。</w:t>
      </w:r>
      <w:r>
        <w:rPr>
          <w:rFonts w:hint="eastAsia" w:ascii="Times New Roman" w:hAnsi="Times New Roman" w:eastAsia="方正仿宋_GBK" w:cs="仿宋_GB2312"/>
          <w:sz w:val="32"/>
        </w:rPr>
        <w:br w:type="textWrapping"/>
      </w:r>
      <w:r>
        <w:rPr>
          <w:rFonts w:hint="eastAsia" w:ascii="Times New Roman" w:hAnsi="Times New Roman" w:eastAsia="方正仿宋_GBK" w:cs="仿宋_GB2312"/>
          <w:sz w:val="32"/>
        </w:rPr>
        <w:t xml:space="preserve">  </w:t>
      </w:r>
      <w:r>
        <w:rPr>
          <w:rFonts w:hint="eastAsia" w:ascii="Times New Roman" w:hAnsi="Times New Roman" w:eastAsia="方正仿宋_GBK" w:cs="仿宋_GB2312"/>
          <w:sz w:val="32"/>
          <w:lang w:val="en-US" w:eastAsia="zh-CN"/>
        </w:rPr>
        <w:t xml:space="preserve"> </w:t>
      </w:r>
      <w:r>
        <w:rPr>
          <w:rFonts w:hint="eastAsia" w:ascii="Times New Roman" w:hAnsi="Times New Roman" w:eastAsia="方正仿宋_GBK" w:cs="仿宋_GB2312"/>
          <w:sz w:val="32"/>
        </w:rPr>
        <w:t xml:space="preserve"> </w:t>
      </w:r>
      <w:r>
        <w:rPr>
          <w:rFonts w:hint="eastAsia" w:ascii="Times New Roman" w:hAnsi="Times New Roman" w:eastAsia="方正仿宋_GBK" w:cs="仿宋_GB2312"/>
          <w:sz w:val="32"/>
          <w:lang w:val="en-US" w:eastAsia="zh-CN"/>
        </w:rPr>
        <w:t>4.</w:t>
      </w:r>
      <w:r>
        <w:rPr>
          <w:rFonts w:hint="eastAsia" w:ascii="Times New Roman" w:hAnsi="Times New Roman" w:eastAsia="方正仿宋_GBK" w:cs="仿宋_GB2312"/>
          <w:sz w:val="32"/>
        </w:rPr>
        <w:t>指导、管理社区矫正工作。指导帮教安置工作。</w:t>
      </w:r>
      <w:r>
        <w:rPr>
          <w:rFonts w:hint="eastAsia" w:ascii="Times New Roman" w:hAnsi="Times New Roman" w:eastAsia="方正仿宋_GBK" w:cs="仿宋_GB2312"/>
          <w:sz w:val="32"/>
        </w:rPr>
        <w:br w:type="textWrapping"/>
      </w:r>
      <w:r>
        <w:rPr>
          <w:rFonts w:hint="eastAsia" w:ascii="Times New Roman" w:hAnsi="Times New Roman" w:eastAsia="方正仿宋_GBK" w:cs="仿宋_GB2312"/>
          <w:sz w:val="32"/>
        </w:rPr>
        <w:t xml:space="preserve">   </w:t>
      </w:r>
      <w:r>
        <w:rPr>
          <w:rFonts w:hint="eastAsia" w:ascii="Times New Roman" w:hAnsi="Times New Roman" w:eastAsia="方正仿宋_GBK" w:cs="仿宋_GB2312"/>
          <w:sz w:val="32"/>
          <w:lang w:val="en-US" w:eastAsia="zh-CN"/>
        </w:rPr>
        <w:t xml:space="preserve"> 5.</w:t>
      </w:r>
      <w:r>
        <w:rPr>
          <w:rFonts w:hint="eastAsia" w:ascii="Times New Roman" w:hAnsi="Times New Roman" w:eastAsia="方正仿宋_GBK" w:cs="仿宋_GB2312"/>
          <w:sz w:val="32"/>
        </w:rPr>
        <w:t>负责拟订全区公共法律服务体系建设规划并指导实施，统筹和布局城乡、区域法律服务资源。指导、监督律师、法律援助、司法鉴定、公证、仲裁和基层法律服务管理工作。</w:t>
      </w:r>
      <w:r>
        <w:rPr>
          <w:rFonts w:hint="eastAsia" w:ascii="Times New Roman" w:hAnsi="Times New Roman" w:eastAsia="方正仿宋_GBK" w:cs="仿宋_GB2312"/>
          <w:sz w:val="32"/>
        </w:rPr>
        <w:br w:type="textWrapping"/>
      </w:r>
      <w:r>
        <w:rPr>
          <w:rFonts w:hint="eastAsia" w:ascii="Times New Roman" w:hAnsi="Times New Roman" w:eastAsia="方正仿宋_GBK" w:cs="仿宋_GB2312"/>
          <w:sz w:val="32"/>
        </w:rPr>
        <w:t xml:space="preserve">  </w:t>
      </w:r>
      <w:r>
        <w:rPr>
          <w:rFonts w:hint="eastAsia" w:ascii="Times New Roman" w:hAnsi="Times New Roman" w:eastAsia="方正仿宋_GBK" w:cs="仿宋_GB2312"/>
          <w:sz w:val="32"/>
          <w:lang w:val="en-US" w:eastAsia="zh-CN"/>
        </w:rPr>
        <w:t xml:space="preserve"> </w:t>
      </w:r>
      <w:r>
        <w:rPr>
          <w:rFonts w:hint="eastAsia" w:ascii="Times New Roman" w:hAnsi="Times New Roman" w:eastAsia="方正仿宋_GBK" w:cs="仿宋_GB2312"/>
          <w:sz w:val="32"/>
        </w:rPr>
        <w:t xml:space="preserve"> </w:t>
      </w:r>
      <w:r>
        <w:rPr>
          <w:rFonts w:hint="eastAsia" w:ascii="Times New Roman" w:hAnsi="Times New Roman" w:eastAsia="方正仿宋_GBK" w:cs="仿宋_GB2312"/>
          <w:sz w:val="32"/>
          <w:lang w:val="en-US" w:eastAsia="zh-CN"/>
        </w:rPr>
        <w:t>6.</w:t>
      </w:r>
      <w:r>
        <w:rPr>
          <w:rFonts w:hint="eastAsia" w:ascii="Times New Roman" w:hAnsi="Times New Roman" w:eastAsia="方正仿宋_GBK" w:cs="仿宋_GB2312"/>
          <w:sz w:val="32"/>
        </w:rPr>
        <w:t>负责法律职业资格证书管理等工作。负责规划和组织全区法律职业人员入职前培训工作。</w:t>
      </w:r>
      <w:r>
        <w:rPr>
          <w:rFonts w:hint="eastAsia" w:ascii="Times New Roman" w:hAnsi="Times New Roman" w:eastAsia="方正仿宋_GBK" w:cs="仿宋_GB2312"/>
          <w:sz w:val="32"/>
        </w:rPr>
        <w:br w:type="textWrapping"/>
      </w:r>
      <w:r>
        <w:rPr>
          <w:rFonts w:hint="eastAsia" w:ascii="Times New Roman" w:hAnsi="Times New Roman" w:eastAsia="方正仿宋_GBK" w:cs="仿宋_GB2312"/>
          <w:sz w:val="32"/>
        </w:rPr>
        <w:t xml:space="preserve">  </w:t>
      </w:r>
      <w:r>
        <w:rPr>
          <w:rFonts w:hint="eastAsia" w:ascii="Times New Roman" w:hAnsi="Times New Roman" w:eastAsia="方正仿宋_GBK" w:cs="仿宋_GB2312"/>
          <w:sz w:val="32"/>
          <w:lang w:val="en-US" w:eastAsia="zh-CN"/>
        </w:rPr>
        <w:t xml:space="preserve"> </w:t>
      </w:r>
      <w:r>
        <w:rPr>
          <w:rFonts w:hint="eastAsia" w:ascii="Times New Roman" w:hAnsi="Times New Roman" w:eastAsia="方正仿宋_GBK" w:cs="仿宋_GB2312"/>
          <w:sz w:val="32"/>
        </w:rPr>
        <w:t xml:space="preserve"> </w:t>
      </w:r>
      <w:r>
        <w:rPr>
          <w:rFonts w:hint="eastAsia" w:ascii="Times New Roman" w:hAnsi="Times New Roman" w:eastAsia="方正仿宋_GBK" w:cs="仿宋_GB2312"/>
          <w:sz w:val="32"/>
          <w:lang w:val="en-US" w:eastAsia="zh-CN"/>
        </w:rPr>
        <w:t>7.</w:t>
      </w:r>
      <w:r>
        <w:rPr>
          <w:rFonts w:hint="eastAsia" w:ascii="Times New Roman" w:hAnsi="Times New Roman" w:eastAsia="方正仿宋_GBK" w:cs="仿宋_GB2312"/>
          <w:sz w:val="32"/>
        </w:rPr>
        <w:t>规划、协调、指导全区法治人才队伍建设相关工作，指导、监督本系统队伍建设。负责机关、直属单位和律师行业党建工作。</w:t>
      </w:r>
      <w:r>
        <w:rPr>
          <w:rFonts w:hint="eastAsia" w:ascii="Times New Roman" w:hAnsi="Times New Roman" w:eastAsia="方正仿宋_GBK" w:cs="仿宋_GB2312"/>
          <w:sz w:val="32"/>
        </w:rPr>
        <w:br w:type="textWrapping"/>
      </w:r>
      <w:r>
        <w:rPr>
          <w:rFonts w:hint="eastAsia" w:ascii="Times New Roman" w:hAnsi="Times New Roman" w:eastAsia="仿宋_GB2312" w:cs="仿宋_GB2312"/>
          <w:sz w:val="32"/>
        </w:rPr>
        <w:t xml:space="preserve"> </w:t>
      </w:r>
      <w:r>
        <w:rPr>
          <w:rFonts w:hint="eastAsia" w:ascii="Times New Roman" w:hAnsi="Times New Roman" w:eastAsia="仿宋_GB2312" w:cs="仿宋_GB2312"/>
          <w:sz w:val="32"/>
          <w:lang w:val="en-US" w:eastAsia="zh-CN"/>
        </w:rPr>
        <w:t xml:space="preserve">   </w:t>
      </w:r>
      <w:r>
        <w:rPr>
          <w:rFonts w:hint="eastAsia" w:ascii="Times New Roman" w:hAnsi="Times New Roman" w:eastAsia="方正仿宋_GBK" w:cs="仿宋_GB2312"/>
          <w:sz w:val="32"/>
          <w:lang w:val="en-US" w:eastAsia="zh-CN"/>
        </w:rPr>
        <w:t>8.</w:t>
      </w:r>
      <w:r>
        <w:rPr>
          <w:rFonts w:hint="eastAsia" w:ascii="Times New Roman" w:hAnsi="Times New Roman" w:eastAsia="方正仿宋_GBK" w:cs="仿宋_GB2312"/>
          <w:sz w:val="32"/>
        </w:rPr>
        <w:t>完成区委、区政府交办的其他任务。</w:t>
      </w:r>
    </w:p>
    <w:p w14:paraId="7461452E">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14:paraId="02536A81">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eastAsia" w:ascii="Times New Roman" w:hAnsi="Times New Roman" w:eastAsia="方正仿宋_GBK" w:cs="仿宋_GB2312"/>
          <w:sz w:val="32"/>
          <w:lang w:eastAsia="zh-CN"/>
        </w:rPr>
      </w:pPr>
      <w:r>
        <w:rPr>
          <w:rFonts w:hint="eastAsia" w:ascii="Times New Roman" w:hAnsi="Times New Roman" w:eastAsia="方正仿宋_GBK"/>
          <w:sz w:val="32"/>
          <w:lang w:val="en-US" w:eastAsia="zh-CN"/>
        </w:rPr>
        <w:t>重庆市开州区司法局</w:t>
      </w:r>
      <w:r>
        <w:rPr>
          <w:rFonts w:hint="eastAsia" w:ascii="Times New Roman" w:hAnsi="Times New Roman" w:eastAsia="方正仿宋_GBK"/>
          <w:sz w:val="32"/>
          <w:szCs w:val="32"/>
          <w:lang w:val="en-US" w:eastAsia="zh-CN"/>
        </w:rPr>
        <w:t>（本级）</w:t>
      </w:r>
      <w:r>
        <w:rPr>
          <w:rFonts w:ascii="Times New Roman" w:hAnsi="Times New Roman" w:eastAsia="方正仿宋_GBK"/>
          <w:sz w:val="32"/>
        </w:rPr>
        <w:t>内设</w:t>
      </w:r>
      <w:r>
        <w:rPr>
          <w:rFonts w:hint="eastAsia" w:ascii="Times New Roman" w:hAnsi="Times New Roman" w:eastAsia="方正仿宋_GBK"/>
          <w:sz w:val="32"/>
          <w:lang w:val="en-US" w:eastAsia="zh-CN"/>
        </w:rPr>
        <w:t>12</w:t>
      </w:r>
      <w:r>
        <w:rPr>
          <w:rFonts w:ascii="Times New Roman" w:hAnsi="Times New Roman" w:eastAsia="方正仿宋_GBK"/>
          <w:sz w:val="32"/>
        </w:rPr>
        <w:t>个机构处室，分别是</w:t>
      </w:r>
      <w:r>
        <w:rPr>
          <w:rFonts w:hint="eastAsia" w:ascii="Times New Roman" w:hAnsi="Times New Roman" w:eastAsia="方正仿宋_GBK" w:cs="仿宋_GB2312"/>
          <w:sz w:val="32"/>
        </w:rPr>
        <w:t>办公室、规范性文件管理科、社区矫正管理科、行政复议与应诉科、</w:t>
      </w:r>
      <w:bookmarkStart w:id="1" w:name="OLE_LINK1"/>
      <w:r>
        <w:rPr>
          <w:rFonts w:hint="default" w:ascii="Times New Roman" w:hAnsi="Times New Roman" w:eastAsia="方正仿宋_GBK" w:cs="Times New Roman"/>
          <w:sz w:val="32"/>
        </w:rPr>
        <w:t>行政执法协调</w:t>
      </w:r>
      <w:r>
        <w:rPr>
          <w:rFonts w:hint="eastAsia" w:ascii="Times New Roman" w:hAnsi="Times New Roman" w:eastAsia="方正仿宋_GBK" w:cs="Times New Roman"/>
          <w:sz w:val="32"/>
          <w:lang w:val="en-US" w:eastAsia="zh-CN"/>
        </w:rPr>
        <w:t>推进</w:t>
      </w:r>
      <w:r>
        <w:rPr>
          <w:rFonts w:hint="default" w:ascii="Times New Roman" w:hAnsi="Times New Roman" w:eastAsia="方正仿宋_GBK" w:cs="Times New Roman"/>
          <w:sz w:val="32"/>
        </w:rPr>
        <w:t>科、</w:t>
      </w:r>
      <w:r>
        <w:rPr>
          <w:rFonts w:hint="eastAsia" w:ascii="Times New Roman" w:hAnsi="Times New Roman" w:eastAsia="方正仿宋_GBK" w:cs="Times New Roman"/>
          <w:sz w:val="32"/>
          <w:lang w:val="en-US" w:eastAsia="zh-CN"/>
        </w:rPr>
        <w:t>行政执法监督检查科、</w:t>
      </w:r>
      <w:bookmarkEnd w:id="1"/>
      <w:r>
        <w:rPr>
          <w:rFonts w:hint="eastAsia" w:ascii="Times New Roman" w:hAnsi="Times New Roman" w:eastAsia="方正仿宋_GBK" w:cs="仿宋_GB2312"/>
          <w:sz w:val="32"/>
        </w:rPr>
        <w:t>普法与依法治理科、人民参与和促进法治科、公共法律服务管理科、律师工作科、政治处和综合科</w:t>
      </w:r>
      <w:r>
        <w:rPr>
          <w:rFonts w:ascii="Times New Roman" w:hAnsi="Times New Roman" w:eastAsia="方正仿宋_GBK"/>
          <w:sz w:val="32"/>
        </w:rPr>
        <w:t>。</w:t>
      </w:r>
      <w:r>
        <w:rPr>
          <w:rFonts w:hint="eastAsia" w:ascii="Times New Roman" w:hAnsi="Times New Roman" w:eastAsia="方正仿宋_GBK" w:cs="仿宋_GB2312"/>
          <w:sz w:val="32"/>
        </w:rPr>
        <w:t>下辖40个镇乡街道司法所</w:t>
      </w:r>
      <w:r>
        <w:rPr>
          <w:rFonts w:hint="eastAsia" w:ascii="Times New Roman" w:hAnsi="Times New Roman" w:eastAsia="方正仿宋_GBK" w:cs="仿宋_GB2312"/>
          <w:sz w:val="32"/>
          <w:lang w:eastAsia="zh-CN"/>
        </w:rPr>
        <w:t>。</w:t>
      </w:r>
    </w:p>
    <w:p w14:paraId="56B5888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仿宋_GBK" w:cs="方正仿宋_GBK"/>
          <w:kern w:val="0"/>
          <w:sz w:val="32"/>
          <w:szCs w:val="32"/>
        </w:rPr>
        <w:t>从预算单位构成看，本单位为</w:t>
      </w:r>
      <w:r>
        <w:rPr>
          <w:rFonts w:hint="eastAsia" w:ascii="Times New Roman" w:hAnsi="Times New Roman" w:eastAsia="方正仿宋_GBK" w:cs="方正仿宋_GBK"/>
          <w:kern w:val="0"/>
          <w:sz w:val="32"/>
          <w:szCs w:val="32"/>
          <w:lang w:val="en-US" w:eastAsia="zh-CN"/>
        </w:rPr>
        <w:t>二</w:t>
      </w:r>
      <w:r>
        <w:rPr>
          <w:rFonts w:hint="eastAsia" w:ascii="Times New Roman" w:hAnsi="Times New Roman" w:eastAsia="方正仿宋_GBK" w:cs="方正仿宋_GBK"/>
          <w:kern w:val="0"/>
          <w:sz w:val="32"/>
          <w:szCs w:val="32"/>
        </w:rPr>
        <w:t>级预算单位，无下级预算单位。</w:t>
      </w:r>
    </w:p>
    <w:p w14:paraId="1BA2AEE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1C690F5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年年初预算数2689.07万元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114.48</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2689.07万元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114.48</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134.85</w:t>
      </w:r>
      <w:r>
        <w:rPr>
          <w:rFonts w:hint="default" w:ascii="Times New Roman" w:hAnsi="Times New Roman" w:eastAsia="方正仿宋_GBK" w:cs="Times New Roman"/>
          <w:sz w:val="32"/>
          <w:highlight w:val="none"/>
        </w:rPr>
        <w:t>万元，主要是增加</w:t>
      </w:r>
      <w:r>
        <w:rPr>
          <w:rFonts w:hint="eastAsia" w:ascii="Times New Roman" w:hAnsi="Times New Roman" w:eastAsia="方正仿宋_GBK"/>
          <w:sz w:val="32"/>
          <w:lang w:val="en-US" w:eastAsia="zh-CN"/>
        </w:rPr>
        <w:t>2026年律师工作</w:t>
      </w:r>
      <w:r>
        <w:rPr>
          <w:rFonts w:hint="default" w:ascii="Times New Roman" w:hAnsi="Times New Roman" w:eastAsia="方正仿宋_GBK" w:cs="Times New Roman"/>
          <w:sz w:val="32"/>
          <w:highlight w:val="none"/>
        </w:rPr>
        <w:t>经费拨款</w:t>
      </w:r>
      <w:r>
        <w:rPr>
          <w:rFonts w:hint="eastAsia" w:ascii="Times New Roman" w:hAnsi="Times New Roman" w:eastAsia="方正仿宋_GBK" w:cs="Times New Roman"/>
          <w:sz w:val="32"/>
          <w:highlight w:val="none"/>
          <w:lang w:val="en-US" w:eastAsia="zh-CN"/>
        </w:rPr>
        <w:t>及上年项目结转增加了收入</w:t>
      </w:r>
      <w:r>
        <w:rPr>
          <w:rFonts w:hint="default" w:ascii="Times New Roman" w:hAnsi="Times New Roman" w:eastAsia="方正仿宋_GBK" w:cs="Times New Roman"/>
          <w:sz w:val="32"/>
          <w:highlight w:val="none"/>
        </w:rPr>
        <w:t>预算。</w:t>
      </w:r>
    </w:p>
    <w:p w14:paraId="7D4588A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年年初预算数2689.07万元，其中：</w:t>
      </w:r>
      <w:r>
        <w:rPr>
          <w:rFonts w:hint="eastAsia" w:ascii="Times New Roman" w:hAnsi="Times New Roman" w:eastAsia="方正仿宋_GBK"/>
          <w:sz w:val="32"/>
        </w:rPr>
        <w:t>公共安全支出2192.49</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社会保障和就业支出预算</w:t>
      </w:r>
      <w:r>
        <w:rPr>
          <w:rFonts w:hint="eastAsia" w:ascii="Times New Roman" w:hAnsi="Times New Roman" w:eastAsia="方正仿宋_GBK"/>
          <w:sz w:val="32"/>
        </w:rPr>
        <w:t>273.5</w:t>
      </w:r>
      <w:r>
        <w:rPr>
          <w:rFonts w:hint="eastAsia" w:ascii="Times New Roman" w:hAnsi="Times New Roman" w:eastAsia="方正仿宋_GBK"/>
          <w:sz w:val="32"/>
          <w:lang w:val="en-US" w:eastAsia="zh-CN"/>
        </w:rPr>
        <w:t>3</w:t>
      </w:r>
      <w:r>
        <w:rPr>
          <w:rFonts w:ascii="Times New Roman" w:hAnsi="Times New Roman" w:eastAsia="方正仿宋_GBK"/>
          <w:sz w:val="32"/>
        </w:rPr>
        <w:t>万元，卫生健康支出预算</w:t>
      </w:r>
      <w:r>
        <w:rPr>
          <w:rFonts w:hint="eastAsia" w:ascii="Times New Roman" w:hAnsi="Times New Roman" w:eastAsia="方正仿宋_GBK"/>
          <w:sz w:val="32"/>
        </w:rPr>
        <w:t>106.12</w:t>
      </w:r>
      <w:r>
        <w:rPr>
          <w:rFonts w:ascii="Times New Roman" w:hAnsi="Times New Roman" w:eastAsia="方正仿宋_GBK"/>
          <w:sz w:val="32"/>
        </w:rPr>
        <w:t>万元，住房保障支出预算</w:t>
      </w:r>
      <w:r>
        <w:rPr>
          <w:rFonts w:hint="eastAsia" w:ascii="Times New Roman" w:hAnsi="Times New Roman" w:eastAsia="方正仿宋_GBK"/>
          <w:sz w:val="32"/>
        </w:rPr>
        <w:t>116.93</w:t>
      </w:r>
      <w:r>
        <w:rPr>
          <w:rFonts w:ascii="Times New Roman" w:hAnsi="Times New Roman" w:eastAsia="方正仿宋_GBK"/>
          <w:sz w:val="32"/>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134.85</w:t>
      </w:r>
      <w:r>
        <w:rPr>
          <w:rFonts w:hint="default" w:ascii="Times New Roman" w:hAnsi="Times New Roman" w:eastAsia="方正仿宋_GBK" w:cs="Times New Roman"/>
          <w:sz w:val="32"/>
          <w:highlight w:val="none"/>
        </w:rPr>
        <w:t>万元，主要是增加</w:t>
      </w:r>
      <w:r>
        <w:rPr>
          <w:rFonts w:hint="eastAsia" w:ascii="Times New Roman" w:hAnsi="Times New Roman" w:eastAsia="方正仿宋_GBK"/>
          <w:sz w:val="32"/>
          <w:lang w:val="en-US" w:eastAsia="zh-CN"/>
        </w:rPr>
        <w:t>2026年律师工作</w:t>
      </w:r>
      <w:r>
        <w:rPr>
          <w:rFonts w:hint="default" w:ascii="Times New Roman" w:hAnsi="Times New Roman" w:eastAsia="方正仿宋_GBK" w:cs="Times New Roman"/>
          <w:sz w:val="32"/>
          <w:highlight w:val="none"/>
        </w:rPr>
        <w:t>经费拨款</w:t>
      </w:r>
      <w:r>
        <w:rPr>
          <w:rFonts w:hint="eastAsia" w:ascii="Times New Roman" w:hAnsi="Times New Roman" w:eastAsia="方正仿宋_GBK" w:cs="Times New Roman"/>
          <w:sz w:val="32"/>
          <w:highlight w:val="none"/>
          <w:lang w:val="en-US" w:eastAsia="zh-CN"/>
        </w:rPr>
        <w:t>及上年项目形成结转增加了</w:t>
      </w:r>
      <w:r>
        <w:rPr>
          <w:rFonts w:hint="default" w:ascii="Times New Roman" w:hAnsi="Times New Roman" w:eastAsia="方正仿宋_GBK" w:cs="Times New Roman"/>
          <w:sz w:val="32"/>
          <w:highlight w:val="none"/>
        </w:rPr>
        <w:t>支出预算。</w:t>
      </w:r>
    </w:p>
    <w:p w14:paraId="294D8B5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46480A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年一般公共预算财政拨款收入2689.07万元，一般公共预算财政拨款支出2689.07万元，比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134.85</w:t>
      </w:r>
      <w:r>
        <w:rPr>
          <w:rFonts w:hint="default" w:ascii="Times New Roman" w:hAnsi="Times New Roman" w:eastAsia="方正仿宋_GBK" w:cs="Times New Roman"/>
          <w:sz w:val="32"/>
          <w:highlight w:val="none"/>
        </w:rPr>
        <w:t>万元。其中：基本支出1852.52万元，比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58.37</w:t>
      </w:r>
      <w:r>
        <w:rPr>
          <w:rFonts w:hint="default" w:ascii="Times New Roman" w:hAnsi="Times New Roman" w:eastAsia="方正仿宋_GBK" w:cs="Times New Roman"/>
          <w:sz w:val="32"/>
          <w:highlight w:val="none"/>
        </w:rPr>
        <w:t>万元，</w:t>
      </w:r>
      <w:r>
        <w:rPr>
          <w:rFonts w:hint="eastAsia" w:ascii="Times New Roman" w:hAnsi="Times New Roman" w:eastAsia="方正仿宋_GBK"/>
          <w:sz w:val="32"/>
          <w:lang w:val="en-US" w:eastAsia="zh-CN"/>
        </w:rPr>
        <w:t>2025年人员正常工资晋升及相应社保费用增加，</w:t>
      </w:r>
      <w:r>
        <w:rPr>
          <w:rFonts w:ascii="Times New Roman" w:hAnsi="Times New Roman" w:eastAsia="方正仿宋_GBK"/>
          <w:sz w:val="32"/>
        </w:rPr>
        <w:t>主要用于保障在职人员工资福利及社会保险缴费，离休人员离休费，退休人员补助等，保障部门正常运转的各项商品服务支出；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highlight w:val="none"/>
        </w:rPr>
        <w:t>项目支出836.55万元，比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76.48</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上年项目结转</w:t>
      </w:r>
      <w:r>
        <w:rPr>
          <w:rFonts w:hint="default" w:ascii="Times New Roman" w:hAnsi="Times New Roman" w:eastAsia="方正仿宋_GBK" w:cs="Times New Roman"/>
          <w:sz w:val="32"/>
          <w:highlight w:val="none"/>
        </w:rPr>
        <w:t>等，主要用于</w:t>
      </w:r>
      <w:r>
        <w:rPr>
          <w:rFonts w:hint="eastAsia" w:ascii="Times New Roman" w:hAnsi="Times New Roman" w:eastAsia="方正仿宋_GBK" w:cs="Times New Roman"/>
          <w:sz w:val="32"/>
          <w:highlight w:val="none"/>
          <w:lang w:val="en-US" w:eastAsia="zh-CN"/>
        </w:rPr>
        <w:t>社区矫正、法律援助、人民调解</w:t>
      </w:r>
      <w:r>
        <w:rPr>
          <w:rFonts w:hint="default" w:ascii="Times New Roman" w:hAnsi="Times New Roman" w:eastAsia="方正仿宋_GBK" w:cs="Times New Roman"/>
          <w:sz w:val="32"/>
          <w:highlight w:val="none"/>
        </w:rPr>
        <w:t>等重点工作。</w:t>
      </w:r>
    </w:p>
    <w:p w14:paraId="317291E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重庆市开州区司法局</w:t>
      </w:r>
      <w:r>
        <w:rPr>
          <w:rFonts w:hint="eastAsia" w:ascii="Times New Roman" w:hAnsi="Times New Roman" w:eastAsia="方正仿宋_GBK"/>
          <w:sz w:val="32"/>
          <w:lang w:val="en-US" w:eastAsia="zh-CN"/>
        </w:rPr>
        <w:t>（本级）</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14:paraId="6609A57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三公</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经费情况说明</w:t>
      </w:r>
    </w:p>
    <w:p w14:paraId="5877EC52">
      <w:pPr>
        <w:keepNext w:val="0"/>
        <w:keepLines w:val="0"/>
        <w:pageBreakBefore w:val="0"/>
        <w:widowControl w:val="0"/>
        <w:kinsoku/>
        <w:wordWrap/>
        <w:overflowPunct/>
        <w:topLinePunct w:val="0"/>
        <w:autoSpaceDE/>
        <w:autoSpaceDN/>
        <w:bidi w:val="0"/>
        <w:adjustRightInd/>
        <w:snapToGrid/>
        <w:spacing w:line="600"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三公</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经费预算</w:t>
      </w:r>
      <w:r>
        <w:rPr>
          <w:rFonts w:hint="eastAsia" w:ascii="Times New Roman" w:hAnsi="Times New Roman" w:eastAsia="方正仿宋_GBK" w:cs="Times New Roman"/>
          <w:sz w:val="32"/>
          <w:highlight w:val="none"/>
          <w:lang w:val="en-US" w:eastAsia="zh-CN"/>
        </w:rPr>
        <w:t>15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14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因本单位下属事业单位无公务用车编制数，故将事业运行中的公务用车运行维护费预算纳入本级预算</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 万元。</w:t>
      </w:r>
    </w:p>
    <w:p w14:paraId="5645009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73E3559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年一般公共预算财政拨款运行经费183.99万元，比上年</w:t>
      </w:r>
      <w:r>
        <w:rPr>
          <w:rFonts w:hint="eastAsia" w:ascii="Times New Roman" w:hAnsi="Times New Roman" w:eastAsia="方正仿宋_GBK" w:cs="Times New Roman"/>
          <w:sz w:val="32"/>
          <w:highlight w:val="none"/>
          <w:lang w:val="en-US" w:eastAsia="zh-CN"/>
        </w:rPr>
        <w:t>增加2.39</w:t>
      </w:r>
      <w:r>
        <w:rPr>
          <w:rFonts w:hint="default" w:ascii="Times New Roman" w:hAnsi="Times New Roman" w:eastAsia="方正仿宋_GBK" w:cs="Times New Roman"/>
          <w:sz w:val="32"/>
          <w:highlight w:val="none"/>
        </w:rPr>
        <w:t>万元，主要原因为</w:t>
      </w:r>
      <w:r>
        <w:rPr>
          <w:rFonts w:hint="eastAsia" w:ascii="Times New Roman" w:hAnsi="Times New Roman" w:eastAsia="方正仿宋_GBK" w:cs="Times New Roman"/>
          <w:sz w:val="32"/>
          <w:highlight w:val="none"/>
          <w:lang w:val="en-US" w:eastAsia="zh-CN"/>
        </w:rPr>
        <w:t>因2025年工资晋升，对应人员工资标准计提的工会、培训、福利费有所增加</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14:paraId="526033B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（二）政府采购情况。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33.3</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33.3</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33.3</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33.3</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60145D4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722.07</w:t>
      </w:r>
      <w:r>
        <w:rPr>
          <w:rFonts w:hint="default" w:ascii="Times New Roman" w:hAnsi="Times New Roman" w:eastAsia="方正仿宋_GBK" w:cs="Times New Roman"/>
          <w:color w:val="000000"/>
          <w:sz w:val="32"/>
          <w:highlight w:val="none"/>
        </w:rPr>
        <w:t>万元。</w:t>
      </w:r>
    </w:p>
    <w:p w14:paraId="5FEBCC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8</w:t>
      </w:r>
      <w:r>
        <w:rPr>
          <w:rFonts w:hint="default" w:ascii="Times New Roman" w:hAnsi="Times New Roman" w:eastAsia="方正仿宋_GBK" w:cs="Times New Roman"/>
          <w:color w:val="000000"/>
          <w:sz w:val="32"/>
          <w:highlight w:val="none"/>
        </w:rPr>
        <w:t>辆，其中</w:t>
      </w:r>
      <w:r>
        <w:rPr>
          <w:rFonts w:hint="eastAsia" w:ascii="Times New Roman" w:hAnsi="Times New Roman" w:eastAsia="方正仿宋_GBK" w:cs="仿宋_GB2312"/>
          <w:color w:val="000000"/>
          <w:sz w:val="32"/>
          <w:lang w:val="en-US" w:eastAsia="zh-CN"/>
        </w:rPr>
        <w:t>应急保障用车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7</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30F877B5">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14:paraId="7878EF5B">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5E7222DD">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14:paraId="5EF4D900">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7F1EE37">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5D26183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1AB670">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方正小标宋_GBK" w:cs="Times New Roman"/>
          <w:sz w:val="44"/>
          <w:szCs w:val="44"/>
          <w:highlight w:val="none"/>
        </w:rPr>
      </w:pPr>
    </w:p>
    <w:p w14:paraId="21EE35E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_GBK" w:cs="Times New Roman"/>
          <w:sz w:val="44"/>
          <w:szCs w:val="44"/>
          <w:highlight w:val="none"/>
        </w:rPr>
      </w:pPr>
    </w:p>
    <w:p w14:paraId="16CDF32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_GBK" w:cs="Times New Roman"/>
          <w:sz w:val="44"/>
          <w:szCs w:val="44"/>
          <w:highlight w:val="none"/>
        </w:rPr>
      </w:pPr>
    </w:p>
    <w:p w14:paraId="2D5438A3">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063783F7">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5C4799F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p>
    <w:p w14:paraId="4620386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重庆市开州区司法局（本级）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3373C36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4C3532C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部门预算公开联系人：</w:t>
      </w:r>
      <w:r>
        <w:rPr>
          <w:rFonts w:hint="eastAsia" w:ascii="Times New Roman" w:hAnsi="Times New Roman" w:eastAsia="方正仿宋_GBK" w:cs="Times New Roman"/>
          <w:sz w:val="32"/>
          <w:szCs w:val="32"/>
          <w:highlight w:val="none"/>
          <w:lang w:val="en-US" w:eastAsia="zh-CN"/>
        </w:rPr>
        <w:t>罗兴婧</w:t>
      </w:r>
      <w:r>
        <w:rPr>
          <w:rFonts w:hint="default" w:ascii="Times New Roman" w:hAnsi="Times New Roman" w:eastAsia="方正仿宋_GBK" w:cs="Times New Roman"/>
          <w:sz w:val="32"/>
          <w:szCs w:val="32"/>
          <w:highlight w:val="none"/>
          <w:lang w:val="en-US" w:eastAsia="zh-CN"/>
        </w:rPr>
        <w:t xml:space="preserve">  </w:t>
      </w:r>
    </w:p>
    <w:p w14:paraId="48BDFC0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联系方式：023-</w:t>
      </w:r>
      <w:r>
        <w:rPr>
          <w:rFonts w:hint="eastAsia" w:ascii="Times New Roman" w:hAnsi="Times New Roman" w:eastAsia="方正仿宋_GBK" w:cs="Times New Roman"/>
          <w:sz w:val="32"/>
          <w:szCs w:val="32"/>
          <w:highlight w:val="none"/>
          <w:lang w:val="en-US" w:eastAsia="zh-CN"/>
        </w:rPr>
        <w:t>52218608</w:t>
      </w:r>
    </w:p>
    <w:p w14:paraId="4D2FA06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71CD453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670C64F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eastAsia="zh-CN"/>
        </w:rPr>
        <w:t>重庆市开州区司法局</w:t>
      </w:r>
    </w:p>
    <w:p w14:paraId="5D4851D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日</w:t>
      </w:r>
    </w:p>
    <w:p w14:paraId="2A08BC2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14:paraId="35B5A77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65555EE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4AD33527">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3758D09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7E5610F6">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3F9A5A9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12DE2D7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14E7547E">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16F272A1">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453CA2ED">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2A73DE53">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093EBD39">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1E11E33E">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06EC2C7D">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350D6379">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7B8F0BA2">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6099617E">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51508CE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47ACFC20">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361EF192">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6E4B5180">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24454DA9">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73F833A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057E99B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0E7D205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5BDEC7CF">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693D1927">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29D8FB19">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14:paraId="5B4D45AB">
      <w:pPr>
        <w:overflowPunct w:val="0"/>
        <w:spacing w:line="480" w:lineRule="exact"/>
        <w:ind w:firstLine="280" w:firstLineChars="100"/>
        <w:jc w:val="left"/>
      </w:pP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60288;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1312;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highlight w:val="none"/>
          <w:lang w:eastAsia="zh-CN"/>
        </w:rPr>
        <w:t>重庆市开州区司法局</w:t>
      </w:r>
      <w:r>
        <w:rPr>
          <w:rFonts w:hint="default" w:ascii="Times New Roman" w:hAnsi="Times New Roman" w:eastAsia="方正仿宋_GBK" w:cs="Times New Roman"/>
          <w:kern w:val="0"/>
          <w:sz w:val="28"/>
          <w:szCs w:val="28"/>
          <w:highlight w:val="none"/>
        </w:rPr>
        <w:t xml:space="preserve">办公室　      </w:t>
      </w:r>
      <w:r>
        <w:rPr>
          <w:rFonts w:hint="eastAsia"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 xml:space="preserve">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eastAsia" w:ascii="Times New Roman" w:hAnsi="Times New Roman" w:eastAsia="方正仿宋_GBK" w:cs="Times New Roman"/>
          <w:kern w:val="0"/>
          <w:sz w:val="28"/>
          <w:szCs w:val="28"/>
          <w:highlight w:val="none"/>
          <w:lang w:val="en-US" w:eastAsia="zh-CN"/>
        </w:rPr>
        <w:t>10</w:t>
      </w:r>
      <w:bookmarkStart w:id="2" w:name="_GoBack"/>
      <w:bookmarkEnd w:id="2"/>
      <w:r>
        <w:rPr>
          <w:rFonts w:hint="default" w:ascii="Times New Roman" w:hAnsi="Times New Roman" w:eastAsia="方正仿宋_GBK" w:cs="Times New Roman"/>
          <w:kern w:val="0"/>
          <w:sz w:val="28"/>
          <w:szCs w:val="28"/>
          <w:highlight w:val="none"/>
        </w:rPr>
        <w:t>日印发</w:t>
      </w:r>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ESI宋体-GB2312"/>
    <w:panose1 w:val="02020603050405020304"/>
    <w:charset w:val="86"/>
    <w:family w:val="auto"/>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ESI宋体-GB2312">
    <w:panose1 w:val="02000500000000000000"/>
    <w:charset w:val="86"/>
    <w:family w:val="auto"/>
    <w:pitch w:val="default"/>
    <w:sig w:usb0="800002AF" w:usb1="08476CF8" w:usb2="00000010" w:usb3="00000000" w:csb0="0004000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思源黑体">
    <w:panose1 w:val="020B0500000000000000"/>
    <w:charset w:val="86"/>
    <w:family w:val="auto"/>
    <w:pitch w:val="default"/>
    <w:sig w:usb0="30000083" w:usb1="2BDF3C10" w:usb2="00000016" w:usb3="00000000" w:csb0="602E0107"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CESI小标宋-GB13000"/>
    <w:panose1 w:val="02000000000000000000"/>
    <w:charset w:val="86"/>
    <w:family w:val="auto"/>
    <w:pitch w:val="default"/>
    <w:sig w:usb0="00000000" w:usb1="00000000" w:usb2="00000012" w:usb3="00000000" w:csb0="00040001" w:csb1="00000000"/>
  </w:font>
  <w:font w:name="CESI小标宋-GB13000">
    <w:panose1 w:val="02000500000000000000"/>
    <w:charset w:val="86"/>
    <w:family w:val="auto"/>
    <w:pitch w:val="default"/>
    <w:sig w:usb0="800002BF" w:usb1="18CF7CF8" w:usb2="00000016" w:usb3="00000000" w:csb0="0004000F" w:csb1="00000000"/>
  </w:font>
  <w:font w:name="方正小标宋_GBK">
    <w:altName w:val="CESI小标宋-GB13000"/>
    <w:panose1 w:val="03000509000000000000"/>
    <w:charset w:val="86"/>
    <w:family w:val="auto"/>
    <w:pitch w:val="default"/>
    <w:sig w:usb0="00000000" w:usb1="00000000" w:usb2="00000000" w:usb3="00000000" w:csb0="00040000" w:csb1="00000000"/>
  </w:font>
  <w:font w:name="方正楷体_GBK">
    <w:altName w:val="CESI楷体-GB13000"/>
    <w:panose1 w:val="03000509000000000000"/>
    <w:charset w:val="86"/>
    <w:family w:val="auto"/>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方正黑体_GBK">
    <w:altName w:val="CESI黑体-GB13000"/>
    <w:panose1 w:val="03000509000000000000"/>
    <w:charset w:val="86"/>
    <w:family w:val="auto"/>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华文中宋">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507B">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-139065</wp:posOffset>
              </wp:positionV>
              <wp:extent cx="760730" cy="2851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073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881D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0.95pt;height:22.45pt;width:59.9pt;mso-position-horizontal-relative:margin;z-index:251659264;mso-width-relative:page;mso-height-relative:page;" filled="f" stroked="f" coordsize="21600,21600" o:gfxdata="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kexJjVAAAABwEAAA8AAAAAAAAAAQAgAAAAIgAAAGRycy9kb3ducmV2&#10;LnhtbFBLAQIUABQAAAAIAIdO4kCKNCZ8OAIAAGEEAAAOAAAAAAAAAAEAIAAAACQBAABkcnMvZTJv&#10;RG9jLnhtbFBLBQYAAAAABgAGAFkBAADOBQAAAAA=&#10;">
              <v:fill on="f" focussize="0,0"/>
              <v:stroke on="f" weight="0.5pt"/>
              <v:imagedata o:title=""/>
              <o:lock v:ext="edit" aspectratio="f"/>
              <v:textbox inset="0mm,0mm,0mm,0mm">
                <w:txbxContent>
                  <w:p w14:paraId="3BC881D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47CAD"/>
    <w:rsid w:val="016027F7"/>
    <w:rsid w:val="08AB6853"/>
    <w:rsid w:val="09494D55"/>
    <w:rsid w:val="09500B3C"/>
    <w:rsid w:val="0AF8461B"/>
    <w:rsid w:val="0B06031F"/>
    <w:rsid w:val="0D8458C4"/>
    <w:rsid w:val="1303095B"/>
    <w:rsid w:val="13980DFA"/>
    <w:rsid w:val="16105D1D"/>
    <w:rsid w:val="1A3D12D5"/>
    <w:rsid w:val="1CB74BBF"/>
    <w:rsid w:val="1F8578ED"/>
    <w:rsid w:val="1F9B373A"/>
    <w:rsid w:val="25FC3382"/>
    <w:rsid w:val="26A34BB6"/>
    <w:rsid w:val="27130D6E"/>
    <w:rsid w:val="27902E1F"/>
    <w:rsid w:val="27E234BC"/>
    <w:rsid w:val="28AD23CD"/>
    <w:rsid w:val="2B0274F7"/>
    <w:rsid w:val="2B92022A"/>
    <w:rsid w:val="2EB07DDC"/>
    <w:rsid w:val="301215AD"/>
    <w:rsid w:val="301402BF"/>
    <w:rsid w:val="32F36B3E"/>
    <w:rsid w:val="34605E94"/>
    <w:rsid w:val="34714E4F"/>
    <w:rsid w:val="37101AAB"/>
    <w:rsid w:val="39444501"/>
    <w:rsid w:val="3A775CE5"/>
    <w:rsid w:val="415C7BE9"/>
    <w:rsid w:val="442708F5"/>
    <w:rsid w:val="45D34423"/>
    <w:rsid w:val="481D7ECC"/>
    <w:rsid w:val="48E01D1C"/>
    <w:rsid w:val="4B963850"/>
    <w:rsid w:val="4FF365C3"/>
    <w:rsid w:val="50F76E43"/>
    <w:rsid w:val="52461407"/>
    <w:rsid w:val="54847D2C"/>
    <w:rsid w:val="54FD7BB5"/>
    <w:rsid w:val="567A6461"/>
    <w:rsid w:val="58F1266F"/>
    <w:rsid w:val="5B147CAD"/>
    <w:rsid w:val="5C657042"/>
    <w:rsid w:val="5C7A4729"/>
    <w:rsid w:val="5F3279E6"/>
    <w:rsid w:val="60575AEE"/>
    <w:rsid w:val="61333E65"/>
    <w:rsid w:val="62DC4040"/>
    <w:rsid w:val="63892462"/>
    <w:rsid w:val="63D1627E"/>
    <w:rsid w:val="64BF7122"/>
    <w:rsid w:val="66493ACD"/>
    <w:rsid w:val="686376CA"/>
    <w:rsid w:val="691B0000"/>
    <w:rsid w:val="691B497C"/>
    <w:rsid w:val="6EAE7733"/>
    <w:rsid w:val="708D3A93"/>
    <w:rsid w:val="730965F8"/>
    <w:rsid w:val="73C252D7"/>
    <w:rsid w:val="76991F06"/>
    <w:rsid w:val="782A5B6A"/>
    <w:rsid w:val="79002D6F"/>
    <w:rsid w:val="7BD427EF"/>
    <w:rsid w:val="7E8037C9"/>
    <w:rsid w:val="7FFED20B"/>
    <w:rsid w:val="B8F65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spacing w:beforeAutospacing="1" w:afterAutospacing="1"/>
      <w:jc w:val="left"/>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2995</Words>
  <Characters>3267</Characters>
  <Lines>0</Lines>
  <Paragraphs>0</Paragraphs>
  <TotalTime>2</TotalTime>
  <ScaleCrop>false</ScaleCrop>
  <LinksUpToDate>false</LinksUpToDate>
  <CharactersWithSpaces>3405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2026-02-25T18:42:00Z</dcterms:created>
  <dc:creator>LXJ</dc:creator>
  <cp:lastModifiedBy>user</cp:lastModifiedBy>
  <dcterms:modified xsi:type="dcterms:W3CDTF">2026-03-10T11:45:17Z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2BFA585B41F044D0908BF594C5EA8521_11</vt:lpwstr>
  </property>
  <property fmtid="{D5CDD505-2E9C-101B-9397-08002B2CF9AE}" pid="4" name="KSOTemplateDocerSaveRecord">
    <vt:lpwstr>eyJoZGlkIjoiZjQ2NDYyMGYwZWY4Nzk4OTgzMWI4MTM2OGFlZTA0MDAiLCJ1c2VySWQiOiI1MTI1ODY1MzEifQ==</vt:lpwstr>
  </property>
</Properties>
</file>