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01" w:rsidRDefault="00505E40">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重庆市开州区岳溪镇中心卫生院</w:t>
      </w:r>
    </w:p>
    <w:p w:rsidR="00002A01" w:rsidRDefault="00505E40">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002A01" w:rsidRDefault="00002A01">
      <w:pPr>
        <w:spacing w:line="600" w:lineRule="exact"/>
        <w:ind w:firstLineChars="200" w:firstLine="880"/>
        <w:jc w:val="center"/>
        <w:rPr>
          <w:rFonts w:ascii="华文中宋" w:eastAsia="华文中宋" w:hAnsi="华文中宋" w:cs="华文中宋"/>
          <w:sz w:val="44"/>
          <w:szCs w:val="44"/>
        </w:rPr>
      </w:pPr>
    </w:p>
    <w:p w:rsidR="00002A01" w:rsidRDefault="00505E40">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002A01" w:rsidRDefault="00505E4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002A01" w:rsidRDefault="00505E40">
      <w:pPr>
        <w:pStyle w:val="a3"/>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4"/>
          <w:rFonts w:ascii="方正仿宋_GBK" w:eastAsia="方正仿宋_GBK" w:hAnsi="方正仿宋_GBK" w:cs="方正仿宋_GBK" w:hint="eastAsia"/>
          <w:b w:val="0"/>
          <w:bCs/>
          <w:sz w:val="32"/>
          <w:szCs w:val="32"/>
          <w:shd w:val="clear" w:color="auto" w:fill="FFFFFF"/>
        </w:rPr>
        <w:t>医院</w:t>
      </w:r>
      <w:r>
        <w:rPr>
          <w:rFonts w:ascii="方正仿宋_GBK" w:eastAsia="方正仿宋_GBK" w:hAnsi="方正仿宋_GBK" w:cs="方正仿宋_GBK" w:hint="eastAsia"/>
          <w:bCs/>
          <w:sz w:val="32"/>
          <w:szCs w:val="32"/>
        </w:rPr>
        <w:t>承</w:t>
      </w:r>
      <w:r>
        <w:rPr>
          <w:rFonts w:ascii="方正仿宋_GBK" w:eastAsia="方正仿宋_GBK" w:hAnsi="方正仿宋_GBK" w:cs="方正仿宋_GBK" w:hint="eastAsia"/>
          <w:sz w:val="32"/>
          <w:szCs w:val="32"/>
        </w:rPr>
        <w:t>担为一方人民身体健康提供基本医疗服务、基本公共卫生服务、村卫生室管理以及医养结合服务。开展常见病、多发病诊治与护理，疾病防控、保健与健康教育等，是岳溪镇辖区医疗中心、医保定点医疗机构和公共卫生服务中心。</w:t>
      </w:r>
    </w:p>
    <w:p w:rsidR="007F085A" w:rsidRDefault="00505E40">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002A01" w:rsidRDefault="007F085A" w:rsidP="007F085A">
      <w:pPr>
        <w:tabs>
          <w:tab w:val="center" w:pos="4153"/>
          <w:tab w:val="left" w:pos="7275"/>
        </w:tabs>
        <w:spacing w:line="600" w:lineRule="exact"/>
        <w:ind w:firstLineChars="200" w:firstLine="640"/>
        <w:jc w:val="left"/>
        <w:rPr>
          <w:rFonts w:ascii="方正仿宋_GBK" w:eastAsia="方正仿宋_GBK" w:hAnsi="仿宋_GB2312" w:cs="仿宋_GB2312"/>
          <w:sz w:val="32"/>
          <w:szCs w:val="22"/>
        </w:rPr>
      </w:pPr>
      <w:r>
        <w:rPr>
          <w:rFonts w:ascii="方正仿宋_GBK" w:eastAsia="方正仿宋_GBK" w:hint="eastAsia"/>
          <w:sz w:val="32"/>
        </w:rPr>
        <w:t>我单位是一所集医疗、预防、保健为一体的公立一级甲等综合性</w:t>
      </w:r>
      <w:r w:rsidR="00066D13">
        <w:rPr>
          <w:rFonts w:ascii="方正仿宋_GBK" w:eastAsia="方正仿宋_GBK" w:hint="eastAsia"/>
          <w:sz w:val="32"/>
        </w:rPr>
        <w:t>中心卫生院</w:t>
      </w:r>
      <w:r>
        <w:rPr>
          <w:rFonts w:ascii="方正仿宋_GBK" w:eastAsia="方正仿宋_GBK" w:hint="eastAsia"/>
          <w:sz w:val="32"/>
        </w:rPr>
        <w:t>，科室设有办公室、财务科、医保管理科、后勤保障科、公共卫生管理科、内科、外科，妇产科、儿科、特色中医内科、等临床科室；医技科室有放射科、</w:t>
      </w:r>
      <w:r w:rsidR="00235269">
        <w:rPr>
          <w:rFonts w:ascii="方正仿宋_GBK" w:eastAsia="方正仿宋_GBK" w:hint="eastAsia"/>
          <w:sz w:val="32"/>
        </w:rPr>
        <w:t>CT室、</w:t>
      </w:r>
      <w:r>
        <w:rPr>
          <w:rFonts w:ascii="方正仿宋_GBK" w:eastAsia="方正仿宋_GBK" w:hint="eastAsia"/>
          <w:sz w:val="32"/>
        </w:rPr>
        <w:t>检验科、彩超室、心脑电图室等科室。</w:t>
      </w:r>
    </w:p>
    <w:p w:rsidR="00002A01" w:rsidRDefault="00505E40" w:rsidP="007F085A">
      <w:pPr>
        <w:spacing w:line="600" w:lineRule="exact"/>
        <w:ind w:firstLineChars="221" w:firstLine="70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从预算单位构成看，本单位是二级预算单位，主管部门是重庆市开州区卫生健康委员会。</w:t>
      </w:r>
    </w:p>
    <w:p w:rsidR="00002A01" w:rsidRDefault="00505E40">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002A01" w:rsidRDefault="00505E4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（一）收入预算：2021年年初预算数2292.70万元，其中：一般公共预算拨款717.18元，</w:t>
      </w:r>
      <w:r w:rsidR="009D3812">
        <w:rPr>
          <w:rFonts w:ascii="方正仿宋_GBK" w:eastAsia="方正仿宋_GBK" w:hAnsi="方正仿宋_GBK" w:cs="方正仿宋_GBK" w:hint="eastAsia"/>
          <w:sz w:val="32"/>
        </w:rPr>
        <w:t>政府性基金预算拨款 0万元，国有资本经营预算收入0万元，</w:t>
      </w:r>
      <w:r>
        <w:rPr>
          <w:rFonts w:ascii="方正仿宋_GBK" w:eastAsia="方正仿宋_GBK" w:hAnsi="仿宋_GB2312" w:cs="仿宋_GB2312" w:hint="eastAsia"/>
          <w:sz w:val="32"/>
        </w:rPr>
        <w:t>事业收入1575.52万元，</w:t>
      </w:r>
      <w:r w:rsidR="003F23C3">
        <w:rPr>
          <w:rFonts w:ascii="方正仿宋_GBK" w:eastAsia="方正仿宋_GBK" w:hAnsi="方正仿宋_GBK" w:cs="方正仿宋_GBK" w:hint="eastAsia"/>
          <w:sz w:val="32"/>
        </w:rPr>
        <w:t>事业单位经营收入0万元，其他收入0万元。</w:t>
      </w:r>
      <w:r>
        <w:rPr>
          <w:rFonts w:ascii="方正仿宋_GBK" w:eastAsia="方正仿宋_GBK" w:hAnsi="仿宋_GB2312" w:cs="仿宋_GB2312" w:hint="eastAsia"/>
          <w:sz w:val="32"/>
        </w:rPr>
        <w:t>收入较2020</w:t>
      </w:r>
      <w:r>
        <w:rPr>
          <w:rFonts w:ascii="方正仿宋_GBK" w:eastAsia="方正仿宋_GBK" w:hAnsi="仿宋_GB2312" w:cs="仿宋_GB2312" w:hint="eastAsia"/>
          <w:sz w:val="32"/>
        </w:rPr>
        <w:lastRenderedPageBreak/>
        <w:t>年减少118.61万元，主要是一般公共预算拨款增加0.90万元，事业收入减少119.52万元。</w:t>
      </w:r>
      <w:r w:rsidR="00853E8C">
        <w:rPr>
          <w:rFonts w:ascii="方正仿宋_GBK" w:eastAsia="方正仿宋_GBK" w:hAnsi="仿宋_GB2312" w:cs="仿宋_GB2312" w:hint="eastAsia"/>
          <w:sz w:val="32"/>
        </w:rPr>
        <w:t>主要是诊疗人次减少，医疗收入相应减少；财政投人员入经费增加一般公共预算拨款增加。</w:t>
      </w:r>
    </w:p>
    <w:p w:rsidR="00002A01" w:rsidRDefault="00505E4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（二）支出预算：2021年年初预算数2292.70万元，其中：</w:t>
      </w:r>
      <w:r w:rsidR="00E90D06">
        <w:rPr>
          <w:rFonts w:ascii="方正仿宋_GBK" w:eastAsia="方正仿宋_GBK" w:hAnsi="仿宋_GB2312" w:cs="仿宋_GB2312" w:hint="eastAsia"/>
          <w:sz w:val="32"/>
        </w:rPr>
        <w:t>其中：</w:t>
      </w:r>
      <w:r w:rsidR="00E90D06">
        <w:rPr>
          <w:rFonts w:ascii="方正仿宋_GBK" w:eastAsia="方正仿宋_GBK" w:hAnsi="方正仿宋_GBK" w:cs="方正仿宋_GBK" w:hint="eastAsia"/>
          <w:sz w:val="32"/>
        </w:rPr>
        <w:t>一般公共服务支出预算0万元，教育支出预算0万元，</w:t>
      </w:r>
      <w:r>
        <w:rPr>
          <w:rFonts w:ascii="方正仿宋_GBK" w:eastAsia="方正仿宋_GBK" w:hAnsi="仿宋_GB2312" w:cs="仿宋_GB2312" w:hint="eastAsia"/>
          <w:sz w:val="32"/>
        </w:rPr>
        <w:t>社会保障和就业支出预算221.05万元，卫生健康支出预算2009.13万元，住房保障支出预算62.52万元。支出预算较2021年减少118.61万元，主要是基本支出预算减少118.61万元。</w:t>
      </w:r>
      <w:r w:rsidR="002B6229">
        <w:rPr>
          <w:rFonts w:ascii="方正仿宋_GBK" w:eastAsia="方正仿宋_GBK" w:hAnsi="仿宋_GB2312" w:cs="仿宋_GB2312" w:hint="eastAsia"/>
          <w:sz w:val="32"/>
        </w:rPr>
        <w:t>主要原因诊疗人次减少，药品、医疗耗材预算减少，二类疫苗取消加成等原因。</w:t>
      </w:r>
    </w:p>
    <w:p w:rsidR="00002A01" w:rsidRDefault="00505E40">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A2105E" w:rsidRDefault="00505E40" w:rsidP="00A2105E">
      <w:pPr>
        <w:spacing w:line="600" w:lineRule="exact"/>
        <w:ind w:firstLineChars="200" w:firstLine="640"/>
        <w:rPr>
          <w:rFonts w:ascii="方正仿宋_GBK" w:eastAsia="方正仿宋_GBK" w:hAnsi="方正仿宋_GBK" w:cs="方正仿宋_GBK"/>
          <w:sz w:val="32"/>
        </w:rPr>
      </w:pPr>
      <w:r>
        <w:rPr>
          <w:rFonts w:ascii="方正仿宋_GBK" w:eastAsia="方正仿宋_GBK" w:hAnsi="仿宋_GB2312" w:cs="仿宋_GB2312" w:hint="eastAsia"/>
          <w:sz w:val="32"/>
        </w:rPr>
        <w:t>2021年一般公共预算财政拨款收入717.18万元，一般公共预算财政拨款支出717.18万元，较2020年增加0.90万元。主要原因是人员经费增加等，主要用于保障本单位在职人员工资福利及社会保险缴费，退休人员补助等，保障部门正常运转的各项商品服务支出</w:t>
      </w:r>
      <w:r w:rsidR="00A2105E">
        <w:rPr>
          <w:rFonts w:ascii="方正仿宋_GBK" w:eastAsia="方正仿宋_GBK" w:hAnsi="仿宋_GB2312" w:cs="仿宋_GB2312" w:hint="eastAsia"/>
          <w:sz w:val="32"/>
        </w:rPr>
        <w:t>，</w:t>
      </w:r>
      <w:r w:rsidR="00A2105E">
        <w:rPr>
          <w:rFonts w:ascii="方正仿宋_GBK" w:eastAsia="方正仿宋_GBK" w:hAnsi="方正仿宋_GBK" w:cs="方正仿宋_GBK" w:hint="eastAsia"/>
          <w:sz w:val="32"/>
        </w:rPr>
        <w:t>项目支出0万元，比2020年增加0万元。</w:t>
      </w:r>
    </w:p>
    <w:p w:rsidR="00002A01" w:rsidRDefault="00505E4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w:t>
      </w:r>
      <w:r w:rsidR="00A2105E">
        <w:rPr>
          <w:rFonts w:ascii="方正仿宋_GBK" w:eastAsia="方正仿宋_GBK" w:hAnsi="仿宋_GB2312" w:cs="仿宋_GB2312" w:hint="eastAsia"/>
          <w:sz w:val="32"/>
        </w:rPr>
        <w:t>未</w:t>
      </w:r>
      <w:r>
        <w:rPr>
          <w:rFonts w:ascii="方正仿宋_GBK" w:eastAsia="方正仿宋_GBK" w:hAnsi="仿宋_GB2312" w:cs="仿宋_GB2312" w:hint="eastAsia"/>
          <w:sz w:val="32"/>
        </w:rPr>
        <w:t>使用政府性基金预算拨款安排的支出。</w:t>
      </w:r>
    </w:p>
    <w:p w:rsidR="00002A01" w:rsidRDefault="00505E40">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0D6B81" w:rsidRDefault="000D6B81" w:rsidP="000D6B81">
      <w:pPr>
        <w:spacing w:line="600" w:lineRule="exact"/>
        <w:ind w:firstLineChars="200" w:firstLine="640"/>
        <w:rPr>
          <w:rFonts w:ascii="方正仿宋_GBK" w:eastAsia="方正仿宋_GBK"/>
          <w:b/>
          <w:color w:val="333333"/>
          <w:sz w:val="32"/>
          <w:szCs w:val="32"/>
        </w:rPr>
      </w:pPr>
      <w:r>
        <w:rPr>
          <w:rFonts w:ascii="方正仿宋_GBK" w:eastAsia="方正仿宋_GBK" w:hint="eastAsia"/>
          <w:sz w:val="32"/>
        </w:rPr>
        <w:t>我单位属于财政差额拨款单位，财政未保障我单位“三公”经费</w:t>
      </w:r>
      <w:r w:rsidR="00D739B7">
        <w:rPr>
          <w:rFonts w:ascii="方正仿宋_GBK" w:eastAsia="方正仿宋_GBK" w:hint="eastAsia"/>
          <w:sz w:val="32"/>
        </w:rPr>
        <w:t>，</w:t>
      </w:r>
      <w:r>
        <w:rPr>
          <w:rFonts w:ascii="方正仿宋_GBK" w:eastAsia="方正仿宋_GBK" w:hint="eastAsia"/>
          <w:sz w:val="32"/>
        </w:rPr>
        <w:t>“三公”经费预算支出为0。</w:t>
      </w:r>
    </w:p>
    <w:p w:rsidR="00002A01" w:rsidRDefault="00505E40">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227708" w:rsidRPr="007C1EAD" w:rsidRDefault="00227708" w:rsidP="00227708">
      <w:pPr>
        <w:pStyle w:val="a7"/>
        <w:widowControl w:val="0"/>
        <w:tabs>
          <w:tab w:val="center" w:pos="4153"/>
          <w:tab w:val="left" w:pos="7275"/>
        </w:tabs>
        <w:spacing w:line="600" w:lineRule="exact"/>
        <w:ind w:firstLine="640"/>
        <w:rPr>
          <w:rFonts w:ascii="方正楷体_GBK" w:eastAsia="方正楷体_GBK" w:hAnsi="方正楷体_GBK" w:cs="方正楷体_GBK" w:hint="default"/>
          <w:bCs/>
          <w:sz w:val="32"/>
          <w:szCs w:val="32"/>
        </w:rPr>
      </w:pPr>
      <w:r>
        <w:rPr>
          <w:rFonts w:ascii="方正仿宋_GBK" w:eastAsia="方正仿宋_GBK" w:hAnsi="仿宋_GB2312" w:cs="仿宋_GB2312"/>
          <w:sz w:val="32"/>
        </w:rPr>
        <w:lastRenderedPageBreak/>
        <w:t>1、机关运行经费：我单位不在机关运行经费统计范围之内。</w:t>
      </w:r>
    </w:p>
    <w:p w:rsidR="00227708" w:rsidRDefault="00227708" w:rsidP="00227708">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仿宋_GB2312" w:cs="仿宋_GB2312" w:hint="eastAsia"/>
          <w:sz w:val="32"/>
        </w:rPr>
        <w:t>2、</w:t>
      </w:r>
      <w:r>
        <w:rPr>
          <w:rFonts w:ascii="方正仿宋_GBK" w:eastAsia="方正仿宋_GBK" w:hint="eastAsia"/>
          <w:kern w:val="0"/>
          <w:sz w:val="32"/>
          <w:szCs w:val="32"/>
          <w:shd w:val="clear" w:color="auto" w:fill="FFFFFF"/>
        </w:rPr>
        <w:t>.政府采购情况：</w:t>
      </w:r>
      <w:r>
        <w:rPr>
          <w:rFonts w:ascii="方正仿宋_GBK" w:eastAsia="方正仿宋_GBK" w:hAnsi="方正仿宋_GBK" w:cs="方正仿宋_GBK" w:hint="eastAsia"/>
          <w:sz w:val="32"/>
        </w:rPr>
        <w:t>2021年我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Pr>
          <w:rFonts w:ascii="方正仿宋_GBK" w:eastAsia="方正仿宋_GBK" w:hAnsi="方正仿宋_GBK" w:cs="方正仿宋_GBK" w:hint="eastAsia"/>
          <w:kern w:val="0"/>
          <w:sz w:val="32"/>
          <w:szCs w:val="32"/>
          <w:shd w:val="clear" w:color="auto" w:fill="FFFFFF"/>
        </w:rPr>
        <w:t>。</w:t>
      </w:r>
    </w:p>
    <w:p w:rsidR="00227708" w:rsidRDefault="00227708" w:rsidP="00227708">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3.绩效目标设置情况。2021年项目支出均实行了绩效目标管理，涉及一般公共预算当年财政拨款0万元。</w:t>
      </w:r>
    </w:p>
    <w:p w:rsidR="00227708" w:rsidRDefault="00227708" w:rsidP="00227708">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2A3359">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位共有车辆 1辆，</w:t>
      </w:r>
      <w:r>
        <w:rPr>
          <w:rFonts w:ascii="仿宋_GB2312" w:eastAsia="仿宋_GB2312" w:hAnsi="仿宋_GB2312" w:cs="仿宋_GB2312" w:hint="eastAsia"/>
          <w:color w:val="000000"/>
          <w:sz w:val="32"/>
        </w:rPr>
        <w:t>其中一般公务用车0辆、执勤执法用车0辆，特种专业技术用车2辆。20</w:t>
      </w: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1年一般公共预算安排购置车辆0辆，其中一般公务用车0辆、执勤执法用车0辆。</w:t>
      </w:r>
    </w:p>
    <w:p w:rsidR="00002A01" w:rsidRDefault="00505E40">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584477" w:rsidRDefault="00584477" w:rsidP="00584477">
      <w:pPr>
        <w:pStyle w:val="1"/>
        <w:tabs>
          <w:tab w:val="center" w:pos="4153"/>
          <w:tab w:val="left" w:pos="7275"/>
        </w:tabs>
        <w:spacing w:line="600" w:lineRule="exact"/>
        <w:ind w:firstLine="640"/>
        <w:rPr>
          <w:rFonts w:ascii="方正仿宋_GBK" w:eastAsia="方正仿宋_GBK"/>
          <w:sz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kern w:val="0"/>
          <w:sz w:val="32"/>
          <w:szCs w:val="32"/>
        </w:rPr>
        <w:t>一）财政拨款收入：</w:t>
      </w:r>
      <w:r>
        <w:rPr>
          <w:rFonts w:ascii="方正仿宋_GBK" w:eastAsia="方正仿宋_GBK" w:hint="eastAsia"/>
          <w:sz w:val="32"/>
        </w:rPr>
        <w:t>指本年度从本级财政部门取得的财政拨款，包括一般公共预算财政拨款和政府性基金预算财政拨款。</w:t>
      </w:r>
    </w:p>
    <w:p w:rsidR="00584477" w:rsidRDefault="00584477" w:rsidP="00584477">
      <w:pPr>
        <w:pStyle w:val="a3"/>
        <w:widowControl/>
        <w:numPr>
          <w:ilvl w:val="0"/>
          <w:numId w:val="1"/>
        </w:numPr>
        <w:shd w:val="clear" w:color="auto" w:fill="FFFFFF"/>
        <w:snapToGrid w:val="0"/>
        <w:spacing w:line="600" w:lineRule="exact"/>
        <w:ind w:firstLine="640"/>
        <w:rPr>
          <w:rFonts w:ascii="方正仿宋_GBK" w:eastAsia="方正仿宋_GBK"/>
          <w:kern w:val="2"/>
          <w:sz w:val="32"/>
          <w:szCs w:val="22"/>
        </w:rPr>
      </w:pPr>
      <w:r>
        <w:rPr>
          <w:rFonts w:ascii="方正楷体_GBK" w:eastAsia="方正楷体_GBK" w:hAnsi="方正楷体_GBK" w:cs="方正楷体_GBK" w:hint="eastAsia"/>
          <w:sz w:val="32"/>
          <w:szCs w:val="32"/>
        </w:rPr>
        <w:t>事业收入：</w:t>
      </w:r>
      <w:r>
        <w:rPr>
          <w:rFonts w:ascii="方正仿宋_GBK" w:eastAsia="方正仿宋_GBK" w:hint="eastAsia"/>
          <w:kern w:val="2"/>
          <w:sz w:val="32"/>
          <w:szCs w:val="22"/>
        </w:rPr>
        <w:t>指事业单位开展专业业务活动及其辅助活动取得的现金流入；事业单位收到的财政专户实际核拨的教育收费等资金在此反映。</w:t>
      </w:r>
    </w:p>
    <w:p w:rsidR="00584477" w:rsidRDefault="00584477" w:rsidP="00584477">
      <w:pPr>
        <w:pStyle w:val="a3"/>
        <w:widowControl/>
        <w:numPr>
          <w:ilvl w:val="0"/>
          <w:numId w:val="1"/>
        </w:numPr>
        <w:shd w:val="clear" w:color="auto" w:fill="FFFFFF"/>
        <w:snapToGrid w:val="0"/>
        <w:spacing w:line="600" w:lineRule="exact"/>
        <w:ind w:firstLine="640"/>
        <w:rPr>
          <w:rFonts w:ascii="方正仿宋_GBK" w:eastAsia="方正仿宋_GBK"/>
          <w:kern w:val="2"/>
          <w:sz w:val="32"/>
          <w:szCs w:val="22"/>
        </w:rPr>
      </w:pPr>
      <w:r>
        <w:rPr>
          <w:rFonts w:ascii="方正楷体_GBK" w:eastAsia="方正楷体_GBK" w:hAnsi="方正楷体_GBK" w:cs="方正楷体_GBK" w:hint="eastAsia"/>
          <w:sz w:val="32"/>
          <w:szCs w:val="32"/>
        </w:rPr>
        <w:t>经营收入：</w:t>
      </w:r>
      <w:r>
        <w:rPr>
          <w:rFonts w:ascii="方正仿宋_GBK" w:eastAsia="方正仿宋_GBK" w:hint="eastAsia"/>
          <w:kern w:val="2"/>
          <w:sz w:val="32"/>
          <w:szCs w:val="22"/>
        </w:rPr>
        <w:t>指事业单位在专业业务活动及其辅助活动之外开展非独立核算经营活动取得的现金流入。</w:t>
      </w:r>
    </w:p>
    <w:p w:rsidR="00584477" w:rsidRDefault="00584477" w:rsidP="00584477">
      <w:pPr>
        <w:pStyle w:val="a3"/>
        <w:widowControl/>
        <w:numPr>
          <w:ilvl w:val="0"/>
          <w:numId w:val="1"/>
        </w:numPr>
        <w:shd w:val="clear" w:color="auto" w:fill="FFFFFF"/>
        <w:snapToGrid w:val="0"/>
        <w:spacing w:line="600" w:lineRule="exact"/>
        <w:ind w:firstLine="640"/>
        <w:rPr>
          <w:rFonts w:ascii="方正仿宋_GBK" w:eastAsia="方正仿宋_GBK"/>
          <w:kern w:val="2"/>
          <w:sz w:val="32"/>
          <w:szCs w:val="22"/>
        </w:rPr>
      </w:pPr>
      <w:r>
        <w:rPr>
          <w:rFonts w:ascii="方正楷体_GBK" w:eastAsia="方正楷体_GBK" w:hAnsi="方正楷体_GBK" w:cs="方正楷体_GBK" w:hint="eastAsia"/>
          <w:sz w:val="32"/>
          <w:szCs w:val="32"/>
        </w:rPr>
        <w:lastRenderedPageBreak/>
        <w:t>其他收入：</w:t>
      </w:r>
      <w:r>
        <w:rPr>
          <w:rFonts w:ascii="方正仿宋_GBK" w:eastAsia="方正仿宋_GBK" w:hint="eastAsia"/>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84477" w:rsidRDefault="00584477" w:rsidP="00584477">
      <w:pPr>
        <w:pStyle w:val="a3"/>
        <w:widowControl/>
        <w:numPr>
          <w:ilvl w:val="0"/>
          <w:numId w:val="1"/>
        </w:numPr>
        <w:shd w:val="clear" w:color="auto" w:fill="FFFFFF"/>
        <w:snapToGrid w:val="0"/>
        <w:spacing w:line="600" w:lineRule="exact"/>
        <w:ind w:firstLine="640"/>
        <w:rPr>
          <w:rFonts w:ascii="方正仿宋_GBK" w:eastAsia="方正仿宋_GBK"/>
          <w:kern w:val="2"/>
          <w:sz w:val="32"/>
          <w:szCs w:val="22"/>
        </w:rPr>
      </w:pPr>
      <w:r w:rsidRPr="005A26FD">
        <w:rPr>
          <w:rFonts w:ascii="方正楷体_GBK" w:eastAsia="方正楷体_GBK" w:hAnsi="方正楷体_GBK" w:cs="方正楷体_GBK" w:hint="eastAsia"/>
          <w:sz w:val="32"/>
          <w:szCs w:val="32"/>
        </w:rPr>
        <w:t>基本支出：</w:t>
      </w:r>
      <w:r w:rsidRPr="005A26FD">
        <w:rPr>
          <w:rFonts w:ascii="方正仿宋_GBK" w:eastAsia="方正仿宋_GBK" w:hint="eastAsia"/>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84477" w:rsidRDefault="00584477" w:rsidP="00584477">
      <w:pPr>
        <w:pStyle w:val="a3"/>
        <w:widowControl/>
        <w:numPr>
          <w:ilvl w:val="0"/>
          <w:numId w:val="1"/>
        </w:numPr>
        <w:shd w:val="clear" w:color="auto" w:fill="FFFFFF"/>
        <w:snapToGrid w:val="0"/>
        <w:spacing w:line="600" w:lineRule="exact"/>
        <w:ind w:firstLine="640"/>
        <w:rPr>
          <w:rFonts w:ascii="方正仿宋_GBK" w:eastAsia="方正仿宋_GBK"/>
          <w:kern w:val="2"/>
          <w:sz w:val="32"/>
          <w:szCs w:val="22"/>
        </w:rPr>
      </w:pPr>
      <w:r w:rsidRPr="00671D58">
        <w:rPr>
          <w:rFonts w:ascii="方正楷体_GBK" w:eastAsia="方正楷体_GBK" w:hAnsi="方正楷体_GBK" w:cs="方正楷体_GBK" w:hint="eastAsia"/>
          <w:sz w:val="32"/>
          <w:szCs w:val="32"/>
        </w:rPr>
        <w:t>项目支出：</w:t>
      </w:r>
      <w:r w:rsidRPr="00671D58">
        <w:rPr>
          <w:rFonts w:ascii="方正仿宋_GBK" w:eastAsia="方正仿宋_GBK" w:hint="eastAsia"/>
          <w:kern w:val="2"/>
          <w:sz w:val="32"/>
          <w:szCs w:val="22"/>
        </w:rPr>
        <w:t>指在基本支出之外为完成特定行政任务和事业发展目标所发生的支出。</w:t>
      </w:r>
    </w:p>
    <w:p w:rsidR="00584477" w:rsidRDefault="00584477" w:rsidP="00584477">
      <w:pPr>
        <w:pStyle w:val="a3"/>
        <w:widowControl/>
        <w:numPr>
          <w:ilvl w:val="0"/>
          <w:numId w:val="1"/>
        </w:numPr>
        <w:shd w:val="clear" w:color="auto" w:fill="FFFFFF"/>
        <w:snapToGrid w:val="0"/>
        <w:spacing w:line="600" w:lineRule="exact"/>
        <w:ind w:firstLine="640"/>
        <w:rPr>
          <w:rFonts w:ascii="方正仿宋_GBK" w:eastAsia="方正仿宋_GBK"/>
          <w:kern w:val="2"/>
          <w:sz w:val="32"/>
          <w:szCs w:val="22"/>
        </w:rPr>
      </w:pPr>
      <w:r w:rsidRPr="001D06A2">
        <w:rPr>
          <w:rFonts w:ascii="方正楷体_GBK" w:eastAsia="方正楷体_GBK" w:hAnsi="方正楷体_GBK" w:cs="方正楷体_GBK" w:hint="eastAsia"/>
          <w:sz w:val="32"/>
          <w:szCs w:val="32"/>
        </w:rPr>
        <w:t>“三公”经费：</w:t>
      </w:r>
      <w:r w:rsidRPr="001D06A2">
        <w:rPr>
          <w:rFonts w:ascii="方正仿宋_GBK" w:eastAsia="方正仿宋_GBK" w:hint="eastAsia"/>
          <w:kern w:val="2"/>
          <w:sz w:val="32"/>
          <w:szCs w:val="2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sidRPr="001D06A2">
        <w:rPr>
          <w:rFonts w:ascii="方正仿宋_GBK" w:eastAsia="方正仿宋_GBK" w:hint="eastAsia"/>
          <w:kern w:val="2"/>
          <w:sz w:val="32"/>
          <w:szCs w:val="22"/>
        </w:rPr>
        <w:lastRenderedPageBreak/>
        <w:t>奖励费用等支出；公务接待费反映单位按规定开支的各类公务接待（含外宾接待）支出。</w:t>
      </w:r>
    </w:p>
    <w:p w:rsidR="00584477" w:rsidRPr="00D47619" w:rsidRDefault="00584477" w:rsidP="00584477">
      <w:pPr>
        <w:pStyle w:val="a3"/>
        <w:widowControl/>
        <w:numPr>
          <w:ilvl w:val="0"/>
          <w:numId w:val="1"/>
        </w:numPr>
        <w:shd w:val="clear" w:color="auto" w:fill="FFFFFF"/>
        <w:snapToGrid w:val="0"/>
        <w:spacing w:line="600" w:lineRule="exact"/>
        <w:ind w:firstLine="640"/>
        <w:rPr>
          <w:rFonts w:ascii="方正仿宋_GBK" w:eastAsia="方正仿宋_GBK"/>
          <w:kern w:val="2"/>
          <w:sz w:val="32"/>
          <w:szCs w:val="22"/>
        </w:rPr>
      </w:pPr>
      <w:r w:rsidRPr="00D47619">
        <w:rPr>
          <w:rFonts w:ascii="方正楷体_GBK" w:eastAsia="方正楷体_GBK" w:hAnsi="方正楷体_GBK" w:cs="方正楷体_GBK" w:hint="eastAsia"/>
          <w:sz w:val="32"/>
          <w:szCs w:val="32"/>
        </w:rPr>
        <w:t>机关运行经费：</w:t>
      </w:r>
      <w:r w:rsidRPr="00D47619">
        <w:rPr>
          <w:rFonts w:ascii="方正仿宋_GBK" w:eastAsia="方正仿宋_GBK" w:hint="eastAsia"/>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84477" w:rsidRDefault="00584477" w:rsidP="00584477">
      <w:pPr>
        <w:pStyle w:val="a3"/>
        <w:shd w:val="clear" w:color="auto" w:fill="FFFFFF"/>
        <w:snapToGrid w:val="0"/>
        <w:spacing w:line="600" w:lineRule="exact"/>
        <w:ind w:firstLineChars="200" w:firstLine="640"/>
        <w:rPr>
          <w:rFonts w:ascii="方正黑体_GBK" w:eastAsia="方正仿宋_GBK"/>
          <w:sz w:val="32"/>
          <w:szCs w:val="32"/>
        </w:rPr>
      </w:pPr>
      <w:r>
        <w:rPr>
          <w:rFonts w:ascii="方正黑体_GBK" w:eastAsia="方正黑体_GBK" w:hint="eastAsia"/>
          <w:sz w:val="32"/>
          <w:szCs w:val="32"/>
        </w:rPr>
        <w:t>七、</w:t>
      </w:r>
      <w:r>
        <w:rPr>
          <w:rFonts w:ascii="方正仿宋_GBK" w:eastAsia="方正仿宋_GBK" w:hAnsi="仿宋_GB2312" w:cs="仿宋_GB2312" w:hint="eastAsia"/>
          <w:b/>
          <w:sz w:val="32"/>
        </w:rPr>
        <w:t>部门预算公开联系方式</w:t>
      </w:r>
    </w:p>
    <w:p w:rsidR="00002A01" w:rsidRDefault="00505E40" w:rsidP="00673135">
      <w:pPr>
        <w:ind w:firstLineChars="200" w:firstLine="643"/>
      </w:pPr>
      <w:r>
        <w:rPr>
          <w:rFonts w:ascii="方正仿宋_GBK" w:eastAsia="方正仿宋_GBK" w:hAnsi="仿宋_GB2312" w:cs="仿宋_GB2312" w:hint="eastAsia"/>
          <w:b/>
          <w:sz w:val="32"/>
        </w:rPr>
        <w:t>部门预算公开联系人：赵勋　联系方式：13436233681</w:t>
      </w:r>
    </w:p>
    <w:sectPr w:rsidR="00002A01" w:rsidSect="00002A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244" w:rsidRDefault="00405244" w:rsidP="007F085A">
      <w:r>
        <w:separator/>
      </w:r>
    </w:p>
  </w:endnote>
  <w:endnote w:type="continuationSeparator" w:id="1">
    <w:p w:rsidR="00405244" w:rsidRDefault="00405244" w:rsidP="007F0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59" w:rsidRDefault="002A33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59" w:rsidRDefault="002A335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59" w:rsidRDefault="002A33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244" w:rsidRDefault="00405244" w:rsidP="007F085A">
      <w:r>
        <w:separator/>
      </w:r>
    </w:p>
  </w:footnote>
  <w:footnote w:type="continuationSeparator" w:id="1">
    <w:p w:rsidR="00405244" w:rsidRDefault="00405244" w:rsidP="007F0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59" w:rsidRDefault="002A33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59" w:rsidRDefault="002A3359" w:rsidP="002A335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59" w:rsidRDefault="002A335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C9A95"/>
    <w:multiLevelType w:val="singleLevel"/>
    <w:tmpl w:val="842C9A95"/>
    <w:lvl w:ilvl="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E4MWFjZDgxZjgwMjNkNTE0ODBlYzk0MDA5NWE2ZTIifQ=="/>
  </w:docVars>
  <w:rsids>
    <w:rsidRoot w:val="26A80548"/>
    <w:rsid w:val="00002A01"/>
    <w:rsid w:val="00035847"/>
    <w:rsid w:val="00066D13"/>
    <w:rsid w:val="000D6B81"/>
    <w:rsid w:val="00227708"/>
    <w:rsid w:val="00235269"/>
    <w:rsid w:val="002A3359"/>
    <w:rsid w:val="002B6229"/>
    <w:rsid w:val="002D471E"/>
    <w:rsid w:val="003F23C3"/>
    <w:rsid w:val="00405244"/>
    <w:rsid w:val="00505E40"/>
    <w:rsid w:val="00584477"/>
    <w:rsid w:val="00673135"/>
    <w:rsid w:val="007F085A"/>
    <w:rsid w:val="00853E8C"/>
    <w:rsid w:val="00942D27"/>
    <w:rsid w:val="009D3812"/>
    <w:rsid w:val="00A2105E"/>
    <w:rsid w:val="00C77656"/>
    <w:rsid w:val="00D739B7"/>
    <w:rsid w:val="00E61585"/>
    <w:rsid w:val="00E81D8E"/>
    <w:rsid w:val="00E90D06"/>
    <w:rsid w:val="02F53600"/>
    <w:rsid w:val="04D66B7B"/>
    <w:rsid w:val="062D376D"/>
    <w:rsid w:val="06744454"/>
    <w:rsid w:val="07350087"/>
    <w:rsid w:val="0952458C"/>
    <w:rsid w:val="0BED0F30"/>
    <w:rsid w:val="0C3620A6"/>
    <w:rsid w:val="1180436E"/>
    <w:rsid w:val="15F17294"/>
    <w:rsid w:val="16362D32"/>
    <w:rsid w:val="1A8A00D2"/>
    <w:rsid w:val="233D2346"/>
    <w:rsid w:val="26A80548"/>
    <w:rsid w:val="28FC5F9B"/>
    <w:rsid w:val="2CCB2C20"/>
    <w:rsid w:val="2DE3658C"/>
    <w:rsid w:val="35762C28"/>
    <w:rsid w:val="36292CE3"/>
    <w:rsid w:val="381467BE"/>
    <w:rsid w:val="3BAC1684"/>
    <w:rsid w:val="3CC312C3"/>
    <w:rsid w:val="3CEF7934"/>
    <w:rsid w:val="4149029A"/>
    <w:rsid w:val="41670862"/>
    <w:rsid w:val="431E235B"/>
    <w:rsid w:val="444F64B3"/>
    <w:rsid w:val="4A85702B"/>
    <w:rsid w:val="4E5B72F9"/>
    <w:rsid w:val="53696032"/>
    <w:rsid w:val="56472765"/>
    <w:rsid w:val="5B1C52DC"/>
    <w:rsid w:val="5EE23F6D"/>
    <w:rsid w:val="5FF76DFD"/>
    <w:rsid w:val="6A6606AF"/>
    <w:rsid w:val="6BB43DF4"/>
    <w:rsid w:val="6FB02E69"/>
    <w:rsid w:val="7123505E"/>
    <w:rsid w:val="7355410F"/>
    <w:rsid w:val="74E4399C"/>
    <w:rsid w:val="7A122350"/>
    <w:rsid w:val="7F3B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A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02A01"/>
    <w:pPr>
      <w:spacing w:before="100" w:beforeAutospacing="1" w:after="100" w:afterAutospacing="1"/>
      <w:jc w:val="left"/>
    </w:pPr>
    <w:rPr>
      <w:kern w:val="0"/>
      <w:sz w:val="24"/>
    </w:rPr>
  </w:style>
  <w:style w:type="character" w:styleId="a4">
    <w:name w:val="Strong"/>
    <w:basedOn w:val="a0"/>
    <w:qFormat/>
    <w:rsid w:val="00002A01"/>
    <w:rPr>
      <w:b/>
    </w:rPr>
  </w:style>
  <w:style w:type="paragraph" w:styleId="a5">
    <w:name w:val="header"/>
    <w:basedOn w:val="a"/>
    <w:link w:val="Char"/>
    <w:rsid w:val="007F0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F085A"/>
    <w:rPr>
      <w:kern w:val="2"/>
      <w:sz w:val="18"/>
      <w:szCs w:val="18"/>
    </w:rPr>
  </w:style>
  <w:style w:type="paragraph" w:styleId="a6">
    <w:name w:val="footer"/>
    <w:basedOn w:val="a"/>
    <w:link w:val="Char0"/>
    <w:rsid w:val="007F085A"/>
    <w:pPr>
      <w:tabs>
        <w:tab w:val="center" w:pos="4153"/>
        <w:tab w:val="right" w:pos="8306"/>
      </w:tabs>
      <w:snapToGrid w:val="0"/>
      <w:jc w:val="left"/>
    </w:pPr>
    <w:rPr>
      <w:sz w:val="18"/>
      <w:szCs w:val="18"/>
    </w:rPr>
  </w:style>
  <w:style w:type="character" w:customStyle="1" w:styleId="Char0">
    <w:name w:val="页脚 Char"/>
    <w:basedOn w:val="a0"/>
    <w:link w:val="a6"/>
    <w:rsid w:val="007F085A"/>
    <w:rPr>
      <w:kern w:val="2"/>
      <w:sz w:val="18"/>
      <w:szCs w:val="18"/>
    </w:rPr>
  </w:style>
  <w:style w:type="paragraph" w:styleId="a7">
    <w:name w:val="List Paragraph"/>
    <w:basedOn w:val="a"/>
    <w:uiPriority w:val="34"/>
    <w:qFormat/>
    <w:rsid w:val="00227708"/>
    <w:pPr>
      <w:widowControl/>
      <w:spacing w:before="100" w:beforeAutospacing="1" w:after="100" w:afterAutospacing="1"/>
      <w:ind w:firstLineChars="200" w:firstLine="420"/>
      <w:jc w:val="left"/>
    </w:pPr>
    <w:rPr>
      <w:rFonts w:ascii="宋体" w:hAnsi="宋体" w:hint="eastAsia"/>
      <w:kern w:val="0"/>
      <w:sz w:val="24"/>
    </w:rPr>
  </w:style>
  <w:style w:type="paragraph" w:customStyle="1" w:styleId="1">
    <w:name w:val="列出段落1"/>
    <w:basedOn w:val="a"/>
    <w:uiPriority w:val="34"/>
    <w:qFormat/>
    <w:rsid w:val="0058447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328</Words>
  <Characters>1871</Characters>
  <Application>Microsoft Office Word</Application>
  <DocSecurity>0</DocSecurity>
  <Lines>15</Lines>
  <Paragraphs>4</Paragraphs>
  <ScaleCrop>false</ScaleCrop>
  <Company>微软中国</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赵勋</dc:creator>
  <cp:lastModifiedBy>谢芝琼</cp:lastModifiedBy>
  <cp:revision>29</cp:revision>
  <cp:lastPrinted>2022-02-10T04:06:00Z</cp:lastPrinted>
  <dcterms:created xsi:type="dcterms:W3CDTF">2022-02-10T02:33:00Z</dcterms:created>
  <dcterms:modified xsi:type="dcterms:W3CDTF">2022-09-02T03:44:00Z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3B56F193EBB4449B81B9DD8CA66FBED8</vt:lpwstr>
  </property>
</Properties>
</file>