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7A" w:rsidRDefault="00D64523">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重庆市开州区大德镇卫生院</w:t>
      </w:r>
    </w:p>
    <w:p w:rsidR="0073647A" w:rsidRDefault="00D64523">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73647A" w:rsidRDefault="0073647A">
      <w:pPr>
        <w:spacing w:line="600" w:lineRule="exact"/>
        <w:ind w:firstLineChars="200" w:firstLine="880"/>
        <w:jc w:val="center"/>
        <w:rPr>
          <w:rFonts w:ascii="华文中宋" w:eastAsia="华文中宋" w:hAnsi="华文中宋" w:cs="华文中宋"/>
          <w:sz w:val="44"/>
          <w:szCs w:val="44"/>
        </w:rPr>
      </w:pPr>
    </w:p>
    <w:p w:rsidR="0073647A" w:rsidRDefault="00D64523">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73647A" w:rsidRDefault="00D6452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73647A" w:rsidRDefault="00D64523">
      <w:pPr>
        <w:pStyle w:val="a3"/>
        <w:tabs>
          <w:tab w:val="center" w:pos="4153"/>
          <w:tab w:val="left" w:pos="7275"/>
        </w:tabs>
        <w:spacing w:line="600" w:lineRule="exact"/>
        <w:ind w:firstLine="640"/>
        <w:rPr>
          <w:rFonts w:ascii="方正仿宋_GBK" w:eastAsia="方正仿宋_GBK" w:hAnsi="仿宋_GB2312" w:cs="仿宋_GB2312"/>
          <w:sz w:val="32"/>
        </w:rPr>
      </w:pPr>
      <w:r>
        <w:rPr>
          <w:rFonts w:ascii="方正仿宋_GBK" w:eastAsia="方正仿宋_GBK" w:hAnsi="方正仿宋_GBK" w:cs="方正仿宋_GBK" w:hint="eastAsia"/>
          <w:color w:val="333333"/>
          <w:sz w:val="32"/>
          <w:szCs w:val="32"/>
        </w:rPr>
        <w:t xml:space="preserve">开州区大德镇卫生院是一所一级甲等综合性医院。主要职责是贯彻执行党和国家的农村卫生工作方针、政策及法律法规，为人民身体健康提供医疗与预防保健服务，为计划生育提供技术服务，常见病，多发病诊治与护理，卫生防疫保健及健康教育。 </w:t>
      </w:r>
    </w:p>
    <w:p w:rsidR="0073647A" w:rsidRDefault="00D64523">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w:t>
      </w:r>
      <w:r w:rsidR="00BF6EF1">
        <w:rPr>
          <w:rFonts w:ascii="方正仿宋_GBK" w:eastAsia="方正仿宋_GBK" w:hAnsi="仿宋_GB2312" w:cs="仿宋_GB2312" w:hint="eastAsia"/>
          <w:sz w:val="32"/>
          <w:szCs w:val="22"/>
        </w:rPr>
        <w:t>机构设置</w:t>
      </w:r>
    </w:p>
    <w:p w:rsidR="0073647A" w:rsidRDefault="00D64523">
      <w:pPr>
        <w:tabs>
          <w:tab w:val="center" w:pos="4153"/>
          <w:tab w:val="left" w:pos="7275"/>
        </w:tabs>
        <w:spacing w:line="600" w:lineRule="exact"/>
        <w:ind w:firstLineChars="200" w:firstLine="640"/>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开设内科、外科、妇（儿）科、中医科、康复理疗科、公共卫生管理科、影像（放射、超声）科、检验科、心电图室、中（西）药房、财务科、院感科、医务科等科室。</w:t>
      </w:r>
    </w:p>
    <w:p w:rsidR="00BF6EF1" w:rsidRDefault="00BF6EF1" w:rsidP="00BF6EF1">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（三）单位构成</w:t>
      </w:r>
    </w:p>
    <w:p w:rsidR="0073647A" w:rsidRDefault="005C59EE" w:rsidP="00BF6EF1">
      <w:pPr>
        <w:spacing w:line="600" w:lineRule="exact"/>
        <w:ind w:firstLineChars="200" w:firstLine="64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从预算单位构成看，本单位是二级预算单位，主管部门为</w:t>
      </w:r>
      <w:r w:rsidR="00D64523">
        <w:rPr>
          <w:rFonts w:ascii="方正仿宋_GBK" w:eastAsia="方正仿宋_GBK" w:hAnsi="方正仿宋_GBK" w:cs="方正仿宋_GBK" w:hint="eastAsia"/>
          <w:color w:val="333333"/>
          <w:sz w:val="32"/>
          <w:szCs w:val="32"/>
        </w:rPr>
        <w:t>重庆市开州区卫生健康委员会。</w:t>
      </w:r>
    </w:p>
    <w:p w:rsidR="0073647A" w:rsidRDefault="00D64523">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4F4EB3" w:rsidRDefault="00D64523" w:rsidP="004F4EB3">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w:t>
      </w:r>
      <w:r w:rsidR="004F4EB3">
        <w:rPr>
          <w:rFonts w:ascii="方正仿宋_GBK" w:eastAsia="方正仿宋_GBK" w:hAnsi="方正仿宋_GBK" w:cs="方正仿宋_GBK" w:hint="eastAsia"/>
          <w:sz w:val="32"/>
        </w:rPr>
        <w:t>2021年年初预算数</w:t>
      </w:r>
      <w:r w:rsidR="004F4EB3">
        <w:rPr>
          <w:rFonts w:ascii="方正仿宋_GBK" w:eastAsia="方正仿宋_GBK" w:hAnsi="仿宋_GB2312" w:cs="仿宋_GB2312" w:hint="eastAsia"/>
          <w:sz w:val="32"/>
        </w:rPr>
        <w:t>1695.38</w:t>
      </w:r>
      <w:r w:rsidR="004F4EB3">
        <w:rPr>
          <w:rFonts w:ascii="方正仿宋_GBK" w:eastAsia="方正仿宋_GBK" w:hAnsi="方正仿宋_GBK" w:cs="方正仿宋_GBK" w:hint="eastAsia"/>
          <w:sz w:val="32"/>
        </w:rPr>
        <w:t>万元，其中：一般公共预算拨款</w:t>
      </w:r>
      <w:r w:rsidR="004F4EB3">
        <w:rPr>
          <w:rFonts w:ascii="方正仿宋_GBK" w:eastAsia="方正仿宋_GBK" w:hAnsi="仿宋_GB2312" w:cs="仿宋_GB2312" w:hint="eastAsia"/>
          <w:sz w:val="32"/>
        </w:rPr>
        <w:t>432.99</w:t>
      </w:r>
      <w:r w:rsidR="004F4EB3">
        <w:rPr>
          <w:rFonts w:ascii="方正仿宋_GBK" w:eastAsia="方正仿宋_GBK" w:hAnsi="方正仿宋_GBK" w:cs="方正仿宋_GBK" w:hint="eastAsia"/>
          <w:sz w:val="32"/>
        </w:rPr>
        <w:t xml:space="preserve"> 万元，政府性基金预算拨款 0万元，国有资本经营预算收入0万元，事业收入</w:t>
      </w:r>
      <w:r w:rsidR="004F4EB3">
        <w:rPr>
          <w:rFonts w:ascii="方正仿宋_GBK" w:eastAsia="方正仿宋_GBK" w:hAnsi="仿宋_GB2312" w:cs="仿宋_GB2312" w:hint="eastAsia"/>
          <w:sz w:val="32"/>
        </w:rPr>
        <w:t>1262.39</w:t>
      </w:r>
      <w:r w:rsidR="004F4EB3">
        <w:rPr>
          <w:rFonts w:ascii="方正仿宋_GBK" w:eastAsia="方正仿宋_GBK" w:hAnsi="方正仿宋_GBK" w:cs="方正仿宋_GBK" w:hint="eastAsia"/>
          <w:sz w:val="32"/>
        </w:rPr>
        <w:t>万元，事业单位经营收入0万元，其他收入0万元。</w:t>
      </w:r>
      <w:r w:rsidR="004F4EB3">
        <w:rPr>
          <w:rFonts w:ascii="方正仿宋_GBK" w:eastAsia="方正仿宋_GBK" w:hAnsi="仿宋_GB2312" w:cs="仿宋_GB2312" w:hint="eastAsia"/>
          <w:sz w:val="32"/>
        </w:rPr>
        <w:t>收入较2020年增加139.24万元，主要是人员经费及公用经费预算增加。</w:t>
      </w:r>
    </w:p>
    <w:p w:rsidR="00BD35C2" w:rsidRDefault="00D64523" w:rsidP="00BD35C2">
      <w:pPr>
        <w:spacing w:line="600" w:lineRule="exact"/>
        <w:ind w:firstLineChars="200" w:firstLine="640"/>
        <w:rPr>
          <w:rFonts w:ascii="方正仿宋_GBK" w:eastAsia="方正仿宋_GBK" w:hAnsi="方正仿宋_GBK" w:cs="方正仿宋_GBK"/>
          <w:sz w:val="32"/>
        </w:rPr>
      </w:pPr>
      <w:r>
        <w:rPr>
          <w:rFonts w:ascii="方正仿宋_GBK" w:eastAsia="方正仿宋_GBK" w:hAnsi="仿宋_GB2312" w:cs="仿宋_GB2312" w:hint="eastAsia"/>
          <w:sz w:val="32"/>
        </w:rPr>
        <w:lastRenderedPageBreak/>
        <w:t>（二）支出预算：</w:t>
      </w:r>
      <w:r w:rsidR="00BD35C2">
        <w:rPr>
          <w:rFonts w:ascii="方正仿宋_GBK" w:eastAsia="方正仿宋_GBK" w:hAnsi="方正仿宋_GBK" w:cs="方正仿宋_GBK" w:hint="eastAsia"/>
          <w:sz w:val="32"/>
        </w:rPr>
        <w:t>2021年年初预算数</w:t>
      </w:r>
      <w:r w:rsidR="00BD35C2">
        <w:rPr>
          <w:rFonts w:ascii="方正仿宋_GBK" w:eastAsia="方正仿宋_GBK" w:hAnsi="仿宋_GB2312" w:cs="仿宋_GB2312" w:hint="eastAsia"/>
          <w:sz w:val="32"/>
        </w:rPr>
        <w:t>1695.38</w:t>
      </w:r>
      <w:r w:rsidR="00BD35C2">
        <w:rPr>
          <w:rFonts w:ascii="方正仿宋_GBK" w:eastAsia="方正仿宋_GBK" w:hAnsi="方正仿宋_GBK" w:cs="方正仿宋_GBK" w:hint="eastAsia"/>
          <w:sz w:val="32"/>
        </w:rPr>
        <w:t>万元，其中：一般公共服务支出预算0万元，教育支出预算0万元，社会保障和就业支出预算</w:t>
      </w:r>
      <w:r w:rsidR="00BD35C2">
        <w:rPr>
          <w:rFonts w:ascii="方正仿宋_GBK" w:eastAsia="方正仿宋_GBK" w:hAnsi="仿宋_GB2312" w:cs="仿宋_GB2312" w:hint="eastAsia"/>
          <w:sz w:val="32"/>
        </w:rPr>
        <w:t>125.93</w:t>
      </w:r>
      <w:r w:rsidR="00BD35C2">
        <w:rPr>
          <w:rFonts w:ascii="方正仿宋_GBK" w:eastAsia="方正仿宋_GBK" w:hAnsi="方正仿宋_GBK" w:cs="方正仿宋_GBK" w:hint="eastAsia"/>
          <w:sz w:val="32"/>
        </w:rPr>
        <w:t>万元，卫生健康支出预算</w:t>
      </w:r>
      <w:r w:rsidR="00BD35C2">
        <w:rPr>
          <w:rFonts w:ascii="方正仿宋_GBK" w:eastAsia="方正仿宋_GBK" w:hAnsi="仿宋_GB2312" w:cs="仿宋_GB2312" w:hint="eastAsia"/>
          <w:sz w:val="32"/>
        </w:rPr>
        <w:t>1528.49</w:t>
      </w:r>
      <w:r w:rsidR="00BD35C2">
        <w:rPr>
          <w:rFonts w:ascii="方正仿宋_GBK" w:eastAsia="方正仿宋_GBK" w:hAnsi="方正仿宋_GBK" w:cs="方正仿宋_GBK" w:hint="eastAsia"/>
          <w:sz w:val="32"/>
        </w:rPr>
        <w:t xml:space="preserve"> 万元，住房保障支出预算</w:t>
      </w:r>
      <w:r w:rsidR="00BD35C2">
        <w:rPr>
          <w:rFonts w:ascii="方正仿宋_GBK" w:eastAsia="方正仿宋_GBK" w:hAnsi="仿宋_GB2312" w:cs="仿宋_GB2312" w:hint="eastAsia"/>
          <w:sz w:val="32"/>
        </w:rPr>
        <w:t>40.96</w:t>
      </w:r>
      <w:r w:rsidR="00BD35C2">
        <w:rPr>
          <w:rFonts w:ascii="方正仿宋_GBK" w:eastAsia="方正仿宋_GBK" w:hAnsi="方正仿宋_GBK" w:cs="方正仿宋_GBK" w:hint="eastAsia"/>
          <w:sz w:val="32"/>
        </w:rPr>
        <w:t>万元。</w:t>
      </w:r>
      <w:r w:rsidR="00BD35C2">
        <w:rPr>
          <w:rFonts w:ascii="方正仿宋_GBK" w:eastAsia="方正仿宋_GBK" w:hAnsi="仿宋_GB2312" w:cs="仿宋_GB2312" w:hint="eastAsia"/>
          <w:sz w:val="32"/>
        </w:rPr>
        <w:t>支出预算较2020年增加139.24万元，主要是</w:t>
      </w:r>
      <w:r>
        <w:rPr>
          <w:rFonts w:ascii="方正仿宋_GBK" w:eastAsia="方正仿宋_GBK" w:hAnsi="仿宋_GB2312" w:cs="仿宋_GB2312" w:hint="eastAsia"/>
          <w:sz w:val="32"/>
        </w:rPr>
        <w:t>基本支出预算</w:t>
      </w:r>
      <w:r w:rsidR="00BD35C2">
        <w:rPr>
          <w:rFonts w:ascii="方正仿宋_GBK" w:eastAsia="方正仿宋_GBK" w:hAnsi="仿宋_GB2312" w:cs="仿宋_GB2312" w:hint="eastAsia"/>
          <w:sz w:val="32"/>
        </w:rPr>
        <w:t>增加</w:t>
      </w:r>
      <w:r>
        <w:rPr>
          <w:rFonts w:ascii="方正仿宋_GBK" w:eastAsia="方正仿宋_GBK" w:hAnsi="仿宋_GB2312" w:cs="仿宋_GB2312" w:hint="eastAsia"/>
          <w:sz w:val="32"/>
        </w:rPr>
        <w:t>139.24万元</w:t>
      </w:r>
      <w:r>
        <w:rPr>
          <w:rFonts w:ascii="方正仿宋_GBK" w:eastAsia="方正仿宋_GBK" w:hAnsi="方正仿宋_GBK" w:cs="方正仿宋_GBK" w:hint="eastAsia"/>
          <w:sz w:val="32"/>
        </w:rPr>
        <w:t>。</w:t>
      </w:r>
    </w:p>
    <w:p w:rsidR="0073647A" w:rsidRDefault="00D64523">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9A12AD" w:rsidRDefault="009A12AD" w:rsidP="009A12AD">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2021年一般公共预算财政拨款收入</w:t>
      </w:r>
      <w:r>
        <w:rPr>
          <w:rFonts w:ascii="方正仿宋_GBK" w:eastAsia="方正仿宋_GBK" w:hAnsi="仿宋_GB2312" w:cs="仿宋_GB2312" w:hint="eastAsia"/>
          <w:sz w:val="32"/>
        </w:rPr>
        <w:t>432.99</w:t>
      </w:r>
      <w:r>
        <w:rPr>
          <w:rFonts w:ascii="方正仿宋_GBK" w:eastAsia="方正仿宋_GBK" w:hAnsi="方正仿宋_GBK" w:cs="方正仿宋_GBK" w:hint="eastAsia"/>
          <w:sz w:val="32"/>
        </w:rPr>
        <w:t>万元，一般公共预算财政拨款支出</w:t>
      </w:r>
      <w:r>
        <w:rPr>
          <w:rFonts w:ascii="方正仿宋_GBK" w:eastAsia="方正仿宋_GBK" w:hAnsi="仿宋_GB2312" w:cs="仿宋_GB2312" w:hint="eastAsia"/>
          <w:sz w:val="32"/>
        </w:rPr>
        <w:t>432.99</w:t>
      </w:r>
      <w:r>
        <w:rPr>
          <w:rFonts w:ascii="方正仿宋_GBK" w:eastAsia="方正仿宋_GBK" w:hAnsi="方正仿宋_GBK" w:cs="方正仿宋_GBK" w:hint="eastAsia"/>
          <w:sz w:val="32"/>
        </w:rPr>
        <w:t>万元，比2020年增加</w:t>
      </w:r>
      <w:r>
        <w:rPr>
          <w:rFonts w:ascii="方正仿宋_GBK" w:eastAsia="方正仿宋_GBK" w:hAnsi="仿宋_GB2312" w:cs="仿宋_GB2312" w:hint="eastAsia"/>
          <w:sz w:val="32"/>
        </w:rPr>
        <w:t>21.56</w:t>
      </w:r>
      <w:r>
        <w:rPr>
          <w:rFonts w:ascii="方正仿宋_GBK" w:eastAsia="方正仿宋_GBK" w:hAnsi="方正仿宋_GBK" w:cs="方正仿宋_GBK" w:hint="eastAsia"/>
          <w:sz w:val="32"/>
        </w:rPr>
        <w:t>万元。其中：基本支出</w:t>
      </w:r>
      <w:r>
        <w:rPr>
          <w:rFonts w:ascii="方正仿宋_GBK" w:eastAsia="方正仿宋_GBK" w:hAnsi="仿宋_GB2312" w:cs="仿宋_GB2312" w:hint="eastAsia"/>
          <w:sz w:val="32"/>
        </w:rPr>
        <w:t>432.99</w:t>
      </w:r>
      <w:r>
        <w:rPr>
          <w:rFonts w:ascii="方正仿宋_GBK" w:eastAsia="方正仿宋_GBK" w:hAnsi="方正仿宋_GBK" w:cs="方正仿宋_GBK" w:hint="eastAsia"/>
          <w:sz w:val="32"/>
        </w:rPr>
        <w:t>万元，比2020年增加21.56万元，主要原因是退休人员健康休养费标准调高，在职人员每年的薪级工资增加和岗位晋升人员的岗位工资增加等，主要用于保障我单位在职人员工资福利及社会保险缴费，离休人员离休费，退休人员补助等，保障部门正常运转的各项商品服务支出；项目支出0万元，比2020年增加0</w:t>
      </w:r>
      <w:r w:rsidR="0000774D">
        <w:rPr>
          <w:rFonts w:ascii="方正仿宋_GBK" w:eastAsia="方正仿宋_GBK" w:hAnsi="方正仿宋_GBK" w:cs="方正仿宋_GBK" w:hint="eastAsia"/>
          <w:sz w:val="32"/>
        </w:rPr>
        <w:t>万元。</w:t>
      </w:r>
      <w:r w:rsidR="0000774D">
        <w:rPr>
          <w:rFonts w:ascii="方正仿宋_GBK" w:eastAsia="方正仿宋_GBK" w:hAnsi="方正仿宋_GBK" w:cs="方正仿宋_GBK"/>
          <w:sz w:val="32"/>
        </w:rPr>
        <w:t xml:space="preserve"> </w:t>
      </w:r>
    </w:p>
    <w:p w:rsidR="0073647A" w:rsidRPr="009A12AD" w:rsidRDefault="009A12AD" w:rsidP="009A12AD">
      <w:pPr>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我单位2021年未使用政府性基金预算拨款安排的支出。</w:t>
      </w:r>
    </w:p>
    <w:p w:rsidR="0073647A" w:rsidRDefault="00D64523">
      <w:pPr>
        <w:numPr>
          <w:ilvl w:val="0"/>
          <w:numId w:val="1"/>
        </w:num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“三公”经费情况说明</w:t>
      </w:r>
    </w:p>
    <w:p w:rsidR="0073647A" w:rsidRDefault="00D64523">
      <w:pPr>
        <w:pStyle w:val="a3"/>
        <w:tabs>
          <w:tab w:val="center" w:pos="4153"/>
          <w:tab w:val="left" w:pos="7275"/>
        </w:tabs>
        <w:spacing w:line="600" w:lineRule="exact"/>
        <w:ind w:firstLine="640"/>
        <w:rPr>
          <w:rFonts w:ascii="方正黑体_GBK" w:eastAsia="方正黑体_GBK" w:hAnsi="黑体" w:cs="仿宋_GB2312"/>
          <w:sz w:val="32"/>
        </w:rPr>
      </w:pPr>
      <w:r>
        <w:rPr>
          <w:rFonts w:ascii="方正仿宋_GBK" w:eastAsia="方正仿宋_GBK" w:hAnsi="仿宋_GB2312" w:cs="仿宋_GB2312" w:hint="eastAsia"/>
          <w:sz w:val="32"/>
        </w:rPr>
        <w:t>我单位属于差额拨款</w:t>
      </w:r>
      <w:r w:rsidR="00135F93">
        <w:rPr>
          <w:rFonts w:ascii="方正仿宋_GBK" w:eastAsia="方正仿宋_GBK" w:hAnsi="仿宋_GB2312" w:cs="仿宋_GB2312" w:hint="eastAsia"/>
          <w:sz w:val="32"/>
        </w:rPr>
        <w:t>事业</w:t>
      </w:r>
      <w:r>
        <w:rPr>
          <w:rFonts w:ascii="方正仿宋_GBK" w:eastAsia="方正仿宋_GBK" w:hAnsi="仿宋_GB2312" w:cs="仿宋_GB2312" w:hint="eastAsia"/>
          <w:sz w:val="32"/>
        </w:rPr>
        <w:t>单位，财政未保障我单位“三公”经费</w:t>
      </w:r>
      <w:r w:rsidR="00135F93">
        <w:rPr>
          <w:rFonts w:ascii="方正仿宋_GBK" w:eastAsia="方正仿宋_GBK" w:hAnsi="仿宋_GB2312" w:cs="仿宋_GB2312" w:hint="eastAsia"/>
          <w:sz w:val="32"/>
        </w:rPr>
        <w:t>，“三公”经费为0</w:t>
      </w:r>
      <w:r>
        <w:rPr>
          <w:rFonts w:ascii="方正仿宋_GBK" w:eastAsia="方正仿宋_GBK" w:hAnsi="仿宋_GB2312" w:cs="仿宋_GB2312" w:hint="eastAsia"/>
          <w:sz w:val="32"/>
        </w:rPr>
        <w:t>。</w:t>
      </w:r>
    </w:p>
    <w:p w:rsidR="0073647A" w:rsidRDefault="00D64523">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73647A" w:rsidRDefault="00D64523">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73647A" w:rsidRDefault="00D64523">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3270AA">
        <w:rPr>
          <w:rFonts w:ascii="方正仿宋_GBK" w:eastAsia="方正仿宋_GBK" w:hint="eastAsia"/>
          <w:kern w:val="0"/>
          <w:sz w:val="32"/>
          <w:szCs w:val="32"/>
          <w:shd w:val="clear" w:color="auto" w:fill="FFFFFF"/>
        </w:rPr>
        <w:t>政府采购情况。</w:t>
      </w:r>
      <w:r w:rsidR="003270AA">
        <w:rPr>
          <w:rFonts w:ascii="方正仿宋_GBK" w:eastAsia="方正仿宋_GBK" w:hAnsi="方正仿宋_GBK" w:cs="方正仿宋_GBK" w:hint="eastAsia"/>
          <w:sz w:val="32"/>
        </w:rPr>
        <w:t>2021年我单位政府采购预算总额0万元：政府采购货物预算0万元、政府采购工程预算0万元、</w:t>
      </w:r>
      <w:r w:rsidR="003270AA">
        <w:rPr>
          <w:rFonts w:ascii="方正仿宋_GBK" w:eastAsia="方正仿宋_GBK" w:hAnsi="方正仿宋_GBK" w:cs="方正仿宋_GBK" w:hint="eastAsia"/>
          <w:sz w:val="32"/>
        </w:rPr>
        <w:lastRenderedPageBreak/>
        <w:t>政府采购服务预算0万元；其中一般公共预算拨款政府采购0万元：政府采购货物预算0万元、政府采购工程预算0万元、政府采购服务预算0万元</w:t>
      </w:r>
      <w:r w:rsidR="003270AA">
        <w:rPr>
          <w:rFonts w:ascii="方正仿宋_GBK" w:eastAsia="方正仿宋_GBK" w:hAnsi="方正仿宋_GBK" w:cs="方正仿宋_GBK" w:hint="eastAsia"/>
          <w:kern w:val="0"/>
          <w:sz w:val="32"/>
          <w:szCs w:val="32"/>
          <w:shd w:val="clear" w:color="auto" w:fill="FFFFFF"/>
        </w:rPr>
        <w:t>。</w:t>
      </w:r>
    </w:p>
    <w:p w:rsidR="0073647A" w:rsidRDefault="00D64523">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w:t>
      </w:r>
      <w:r w:rsidR="003270AA">
        <w:rPr>
          <w:rFonts w:ascii="方正仿宋_GBK" w:eastAsia="方正仿宋_GBK" w:hint="eastAsia"/>
          <w:kern w:val="0"/>
          <w:sz w:val="32"/>
          <w:szCs w:val="32"/>
          <w:shd w:val="clear" w:color="auto" w:fill="FFFFFF"/>
        </w:rPr>
        <w:t>绩效目标设置情况。2021年项目支出均实行了绩效目标管理，涉及一般公共预算当年财政拨款0万元。</w:t>
      </w:r>
    </w:p>
    <w:p w:rsidR="003270AA" w:rsidRDefault="00D64523" w:rsidP="003270AA">
      <w:pPr>
        <w:ind w:firstLineChars="200" w:firstLine="640"/>
        <w:rPr>
          <w:rFonts w:ascii="仿宋_GB2312" w:eastAsia="仿宋_GB2312" w:hAnsi="仿宋_GB2312" w:cs="仿宋_GB2312"/>
          <w:color w:val="000000"/>
          <w:sz w:val="32"/>
        </w:rPr>
      </w:pPr>
      <w:r>
        <w:rPr>
          <w:rFonts w:ascii="方正仿宋_GBK" w:eastAsia="方正仿宋_GBK" w:hAnsi="仿宋_GB2312" w:cs="仿宋_GB2312" w:hint="eastAsia"/>
          <w:color w:val="000000"/>
          <w:sz w:val="32"/>
        </w:rPr>
        <w:t>4、国有资产占有使用情况。截止202</w:t>
      </w:r>
      <w:r w:rsidR="00A5095E">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年12月，</w:t>
      </w:r>
      <w:r w:rsidR="00BF6EF1">
        <w:rPr>
          <w:rFonts w:ascii="方正仿宋_GBK" w:eastAsia="方正仿宋_GBK" w:hAnsi="仿宋_GB2312" w:cs="仿宋_GB2312" w:hint="eastAsia"/>
          <w:color w:val="000000"/>
          <w:sz w:val="32"/>
        </w:rPr>
        <w:t>本</w:t>
      </w:r>
      <w:r w:rsidR="003270AA">
        <w:rPr>
          <w:rFonts w:ascii="方正仿宋_GBK" w:eastAsia="方正仿宋_GBK" w:hAnsi="仿宋_GB2312" w:cs="仿宋_GB2312" w:hint="eastAsia"/>
          <w:color w:val="000000"/>
          <w:sz w:val="32"/>
        </w:rPr>
        <w:t>单位共有车辆 1辆，</w:t>
      </w:r>
      <w:r w:rsidR="003270AA" w:rsidRPr="0042432F">
        <w:rPr>
          <w:rFonts w:ascii="仿宋_GB2312" w:eastAsia="仿宋_GB2312" w:hAnsi="仿宋_GB2312" w:cs="仿宋_GB2312" w:hint="eastAsia"/>
          <w:color w:val="000000"/>
          <w:sz w:val="32"/>
        </w:rPr>
        <w:t>其中</w:t>
      </w:r>
      <w:r w:rsidR="003270AA">
        <w:rPr>
          <w:rFonts w:ascii="仿宋_GB2312" w:eastAsia="仿宋_GB2312" w:hAnsi="仿宋_GB2312" w:cs="仿宋_GB2312" w:hint="eastAsia"/>
          <w:color w:val="000000"/>
          <w:sz w:val="32"/>
        </w:rPr>
        <w:t>一般公务用车0辆、执勤执法用车0辆，特种专业技术用车1辆。20</w:t>
      </w:r>
      <w:r w:rsidR="003270AA">
        <w:rPr>
          <w:rFonts w:ascii="仿宋_GB2312" w:eastAsia="仿宋_GB2312" w:hAnsi="仿宋_GB2312" w:cs="仿宋_GB2312"/>
          <w:color w:val="000000"/>
          <w:sz w:val="32"/>
        </w:rPr>
        <w:t>2</w:t>
      </w:r>
      <w:r w:rsidR="003270AA">
        <w:rPr>
          <w:rFonts w:ascii="仿宋_GB2312" w:eastAsia="仿宋_GB2312" w:hAnsi="仿宋_GB2312" w:cs="仿宋_GB2312" w:hint="eastAsia"/>
          <w:color w:val="000000"/>
          <w:sz w:val="32"/>
        </w:rPr>
        <w:t>1年一般公共预算安排购置车辆0辆，其中一般公</w:t>
      </w:r>
      <w:bookmarkStart w:id="0" w:name="_GoBack"/>
      <w:bookmarkEnd w:id="0"/>
      <w:r w:rsidR="003270AA">
        <w:rPr>
          <w:rFonts w:ascii="仿宋_GB2312" w:eastAsia="仿宋_GB2312" w:hAnsi="仿宋_GB2312" w:cs="仿宋_GB2312" w:hint="eastAsia"/>
          <w:color w:val="000000"/>
          <w:sz w:val="32"/>
        </w:rPr>
        <w:t>务用车0辆、执勤执法用车0辆。</w:t>
      </w:r>
    </w:p>
    <w:p w:rsidR="0073647A" w:rsidRDefault="00D64523" w:rsidP="003270AA">
      <w:pPr>
        <w:pStyle w:val="a3"/>
        <w:tabs>
          <w:tab w:val="center" w:pos="4153"/>
          <w:tab w:val="left" w:pos="7275"/>
        </w:tabs>
        <w:spacing w:line="600" w:lineRule="exact"/>
        <w:ind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73647A" w:rsidRDefault="00D64523">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73647A" w:rsidRDefault="00D64523">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73647A" w:rsidRDefault="00D64523">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73647A" w:rsidRDefault="00D64523">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73647A" w:rsidRDefault="00D64523">
      <w:pPr>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w:t>
      </w:r>
      <w:r>
        <w:rPr>
          <w:rFonts w:ascii="方正仿宋_GBK" w:eastAsia="方正仿宋_GBK" w:hAnsi="Calibri" w:hint="eastAsia"/>
          <w:sz w:val="32"/>
          <w:szCs w:val="32"/>
        </w:rPr>
        <w:lastRenderedPageBreak/>
        <w:t>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3647A" w:rsidRDefault="00D64523" w:rsidP="00BF6EF1">
      <w:pPr>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部门预算公开联系人：李瑞         联系</w:t>
      </w:r>
      <w:r w:rsidR="00444EFB">
        <w:rPr>
          <w:rFonts w:ascii="方正仿宋_GBK" w:eastAsia="方正仿宋_GBK" w:hAnsi="Calibri" w:hint="eastAsia"/>
          <w:b/>
          <w:sz w:val="32"/>
        </w:rPr>
        <w:t>方式</w:t>
      </w:r>
      <w:r>
        <w:rPr>
          <w:rFonts w:ascii="方正仿宋_GBK" w:eastAsia="方正仿宋_GBK" w:hAnsi="Calibri" w:hint="eastAsia"/>
          <w:b/>
          <w:sz w:val="32"/>
        </w:rPr>
        <w:t>：023-52171119</w:t>
      </w:r>
    </w:p>
    <w:p w:rsidR="0073647A" w:rsidRDefault="0073647A">
      <w:pPr>
        <w:spacing w:line="620" w:lineRule="exact"/>
        <w:ind w:firstLineChars="900" w:firstLine="2880"/>
        <w:rPr>
          <w:rFonts w:ascii="方正仿宋_GBK" w:eastAsia="方正仿宋_GBK" w:hAnsi="Calibri"/>
          <w:sz w:val="32"/>
          <w:szCs w:val="32"/>
        </w:rPr>
      </w:pPr>
    </w:p>
    <w:p w:rsidR="0073647A" w:rsidRDefault="0073647A"/>
    <w:sectPr w:rsidR="0073647A" w:rsidSect="007364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0F1" w:rsidRDefault="00CC10F1" w:rsidP="00BF6EF1">
      <w:r>
        <w:separator/>
      </w:r>
    </w:p>
  </w:endnote>
  <w:endnote w:type="continuationSeparator" w:id="1">
    <w:p w:rsidR="00CC10F1" w:rsidRDefault="00CC10F1" w:rsidP="00BF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4D" w:rsidRDefault="000077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4D" w:rsidRDefault="0000774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4D" w:rsidRDefault="000077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0F1" w:rsidRDefault="00CC10F1" w:rsidP="00BF6EF1">
      <w:r>
        <w:separator/>
      </w:r>
    </w:p>
  </w:footnote>
  <w:footnote w:type="continuationSeparator" w:id="1">
    <w:p w:rsidR="00CC10F1" w:rsidRDefault="00CC10F1" w:rsidP="00BF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4D" w:rsidRDefault="0000774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F1" w:rsidRDefault="00BF6EF1" w:rsidP="0000774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4D" w:rsidRDefault="0000774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854EB1"/>
    <w:multiLevelType w:val="singleLevel"/>
    <w:tmpl w:val="91854EB1"/>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5FB5655"/>
    <w:rsid w:val="0000774D"/>
    <w:rsid w:val="00135F93"/>
    <w:rsid w:val="00246D6C"/>
    <w:rsid w:val="00254AFF"/>
    <w:rsid w:val="003270AA"/>
    <w:rsid w:val="0042432F"/>
    <w:rsid w:val="00444EFB"/>
    <w:rsid w:val="00453C92"/>
    <w:rsid w:val="004F4EB3"/>
    <w:rsid w:val="005C59EE"/>
    <w:rsid w:val="0073647A"/>
    <w:rsid w:val="008A1C29"/>
    <w:rsid w:val="008D0540"/>
    <w:rsid w:val="009A12AD"/>
    <w:rsid w:val="009A78C5"/>
    <w:rsid w:val="00A27F86"/>
    <w:rsid w:val="00A5095E"/>
    <w:rsid w:val="00A66C3D"/>
    <w:rsid w:val="00BB719A"/>
    <w:rsid w:val="00BD35C2"/>
    <w:rsid w:val="00BF6EF1"/>
    <w:rsid w:val="00CC10F1"/>
    <w:rsid w:val="00D541BB"/>
    <w:rsid w:val="00D64523"/>
    <w:rsid w:val="05992742"/>
    <w:rsid w:val="0C292EDC"/>
    <w:rsid w:val="139559A5"/>
    <w:rsid w:val="1D8B0B4C"/>
    <w:rsid w:val="24035465"/>
    <w:rsid w:val="303065DB"/>
    <w:rsid w:val="45FB5655"/>
    <w:rsid w:val="464359F9"/>
    <w:rsid w:val="6C2E0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47A"/>
    <w:pPr>
      <w:ind w:firstLineChars="200" w:firstLine="420"/>
    </w:pPr>
  </w:style>
  <w:style w:type="paragraph" w:styleId="a4">
    <w:name w:val="header"/>
    <w:basedOn w:val="a"/>
    <w:link w:val="Char"/>
    <w:rsid w:val="00BF6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6EF1"/>
    <w:rPr>
      <w:kern w:val="2"/>
      <w:sz w:val="18"/>
      <w:szCs w:val="18"/>
    </w:rPr>
  </w:style>
  <w:style w:type="paragraph" w:styleId="a5">
    <w:name w:val="footer"/>
    <w:basedOn w:val="a"/>
    <w:link w:val="Char0"/>
    <w:rsid w:val="00BF6EF1"/>
    <w:pPr>
      <w:tabs>
        <w:tab w:val="center" w:pos="4153"/>
        <w:tab w:val="right" w:pos="8306"/>
      </w:tabs>
      <w:snapToGrid w:val="0"/>
      <w:jc w:val="left"/>
    </w:pPr>
    <w:rPr>
      <w:sz w:val="18"/>
      <w:szCs w:val="18"/>
    </w:rPr>
  </w:style>
  <w:style w:type="character" w:customStyle="1" w:styleId="Char0">
    <w:name w:val="页脚 Char"/>
    <w:basedOn w:val="a0"/>
    <w:link w:val="a5"/>
    <w:rsid w:val="00BF6EF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250</Words>
  <Characters>1425</Characters>
  <Application>Microsoft Office Word</Application>
  <DocSecurity>0</DocSecurity>
  <Lines>11</Lines>
  <Paragraphs>3</Paragraphs>
  <ScaleCrop>false</ScaleCrop>
  <Company>CHINA</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19</cp:revision>
  <cp:lastPrinted>2022-02-10T11:41:00Z</cp:lastPrinted>
  <dcterms:created xsi:type="dcterms:W3CDTF">2022-02-10T02:45:00Z</dcterms:created>
  <dcterms:modified xsi:type="dcterms:W3CDTF">2022-09-02T03:06:00Z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75FE846585FC4179B36D245D58D40AFE</vt:lpwstr>
  </property>
</Properties>
</file>