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0B" w:rsidRDefault="009B183D">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重庆市开州区精神卫生中心</w:t>
      </w:r>
    </w:p>
    <w:p w:rsidR="00C5680B" w:rsidRDefault="009B183D">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C5680B" w:rsidRDefault="00C5680B">
      <w:pPr>
        <w:spacing w:line="560" w:lineRule="exact"/>
        <w:ind w:firstLineChars="200" w:firstLine="880"/>
        <w:jc w:val="center"/>
        <w:rPr>
          <w:rFonts w:ascii="华文中宋" w:eastAsia="华文中宋" w:hAnsi="华文中宋" w:cs="华文中宋"/>
          <w:sz w:val="44"/>
          <w:szCs w:val="44"/>
        </w:rPr>
      </w:pPr>
    </w:p>
    <w:p w:rsidR="00C5680B" w:rsidRDefault="009B183D">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C5680B" w:rsidRDefault="009B183D">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1.负责重性精神病患者管理的督导、技术指导；服务数量及质量的管理。</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2.制订项目工作制度、年度工作计划、督导评估考核等规范性文件。承担项目的技术指导、人员培训、绩效考核、督导评估等工作。</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3.积极协调，充分发挥专家作用，提高对基层卫生机构的业务指导水平，每年组织开展4次</w:t>
      </w:r>
      <w:r w:rsidR="006162CE">
        <w:rPr>
          <w:rFonts w:ascii="方正仿宋_GBK" w:eastAsia="方正仿宋_GBK" w:hint="eastAsia"/>
          <w:sz w:val="32"/>
          <w:szCs w:val="32"/>
        </w:rPr>
        <w:t>技</w:t>
      </w:r>
      <w:r>
        <w:rPr>
          <w:rFonts w:ascii="方正仿宋_GBK" w:eastAsia="方正仿宋_GBK" w:hint="eastAsia"/>
          <w:sz w:val="32"/>
          <w:szCs w:val="32"/>
        </w:rPr>
        <w:t>术指导与工作督导，为项目实施单位提供技术支撑。</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4.成立重性精神病单项专家组，定期不定期召开专题会议，研究工作中存在的问题，形成工作汇报，供决策参考。</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5.负责项目报表数据统计、信息收集、汇总分析、数据报送等工作。</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6.每年组织我区实施公卫重性精神病患者管理的工作评估，形成有价值的评估报告，供决策参考。</w:t>
      </w:r>
    </w:p>
    <w:p w:rsidR="00C5680B" w:rsidRDefault="009B183D">
      <w:pPr>
        <w:spacing w:line="560" w:lineRule="exact"/>
        <w:ind w:firstLineChars="200" w:firstLine="640"/>
        <w:rPr>
          <w:rFonts w:ascii="方正仿宋_GBK" w:eastAsia="方正仿宋_GBK" w:hAnsi="仿宋_GB2312" w:cs="仿宋_GB2312"/>
          <w:sz w:val="32"/>
        </w:rPr>
      </w:pPr>
      <w:r>
        <w:rPr>
          <w:rFonts w:ascii="方正仿宋_GBK" w:eastAsia="方正仿宋_GBK" w:hint="eastAsia"/>
          <w:sz w:val="32"/>
          <w:szCs w:val="32"/>
        </w:rPr>
        <w:t>7.完成区卫生计生行政部门交办的其他任务。</w:t>
      </w:r>
    </w:p>
    <w:p w:rsidR="00C5680B" w:rsidRDefault="009B183D">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C5680B" w:rsidRDefault="00144AFC">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w:t>
      </w:r>
      <w:r w:rsidR="009B183D">
        <w:rPr>
          <w:rFonts w:ascii="方正仿宋_GBK" w:eastAsia="方正仿宋_GBK" w:hint="eastAsia"/>
          <w:sz w:val="32"/>
          <w:szCs w:val="32"/>
        </w:rPr>
        <w:t>开州区精神卫生中心为差额拨款事业单位，设19个</w:t>
      </w:r>
      <w:r w:rsidR="009B183D">
        <w:rPr>
          <w:rFonts w:ascii="方正仿宋_GBK" w:eastAsia="方正仿宋_GBK" w:hint="eastAsia"/>
          <w:sz w:val="32"/>
          <w:szCs w:val="32"/>
        </w:rPr>
        <w:lastRenderedPageBreak/>
        <w:t>科室。分别是办公室、党办、医务科、护理部、感控科、精防科、社会心理办、财务科、医保科、总务科、建设科、信息设备科、门诊部、精神一科、精神二科、综合科、医技科、药剂科、工娱康复科。</w:t>
      </w:r>
    </w:p>
    <w:p w:rsidR="00C5680B" w:rsidRDefault="009B183D">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从预算单位构成看，本单位是二级预算单位，主管部门为重庆市开州区卫生健康委员会。</w:t>
      </w:r>
    </w:p>
    <w:p w:rsidR="00C5680B" w:rsidRDefault="009B183D">
      <w:pPr>
        <w:spacing w:line="56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C5680B" w:rsidRDefault="009B183D">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：2021年年初预算数5645.03万元，其中：一般公共预算拨款1541.35万元，</w:t>
      </w:r>
      <w:r w:rsidR="00144AFC">
        <w:rPr>
          <w:rFonts w:ascii="方正仿宋_GBK" w:eastAsia="方正仿宋_GBK" w:hAnsi="仿宋_GB2312" w:cs="仿宋_GB2312" w:hint="eastAsia"/>
          <w:sz w:val="32"/>
        </w:rPr>
        <w:t>无政府性基金预算拨款，无</w:t>
      </w:r>
      <w:r w:rsidR="00144AFC" w:rsidRPr="00074317">
        <w:rPr>
          <w:rFonts w:ascii="方正仿宋_GBK" w:eastAsia="方正仿宋_GBK" w:hAnsi="仿宋_GB2312" w:cs="仿宋_GB2312" w:hint="eastAsia"/>
          <w:sz w:val="32"/>
        </w:rPr>
        <w:t>国有资本经营预算收入</w:t>
      </w:r>
      <w:r w:rsidR="00144AFC">
        <w:rPr>
          <w:rFonts w:ascii="方正仿宋_GBK" w:eastAsia="方正仿宋_GBK" w:hAnsi="仿宋_GB2312" w:cs="仿宋_GB2312" w:hint="eastAsia"/>
          <w:sz w:val="32"/>
        </w:rPr>
        <w:t>，</w:t>
      </w:r>
      <w:r>
        <w:rPr>
          <w:rFonts w:ascii="方正仿宋_GBK" w:eastAsia="方正仿宋_GBK" w:hAnsi="仿宋_GB2312" w:cs="仿宋_GB2312" w:hint="eastAsia"/>
          <w:sz w:val="32"/>
        </w:rPr>
        <w:t>事业收入3849万元，</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事业单位经营收入</w:t>
      </w:r>
      <w:r w:rsidR="00144AFC">
        <w:rPr>
          <w:rFonts w:ascii="方正仿宋_GBK" w:eastAsia="方正仿宋_GBK" w:hAnsi="仿宋_GB2312" w:cs="仿宋_GB2312" w:hint="eastAsia"/>
          <w:sz w:val="32"/>
        </w:rPr>
        <w:t>，</w:t>
      </w:r>
      <w:r>
        <w:rPr>
          <w:rFonts w:ascii="方正仿宋_GBK" w:eastAsia="方正仿宋_GBK" w:hAnsi="仿宋_GB2312" w:cs="仿宋_GB2312" w:hint="eastAsia"/>
          <w:sz w:val="32"/>
        </w:rPr>
        <w:t>其他收入254.68万元。收入较2020年增加3.94万元，主要是一般公共预算经费拨款增加11.09万元，事业收入增加2.17万元，其他收入减少9.32万元。</w:t>
      </w:r>
    </w:p>
    <w:p w:rsidR="00C5680B" w:rsidRDefault="009B183D">
      <w:pPr>
        <w:spacing w:line="56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：2021年年初预算数5645.03万元，其中：</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一般公共服务支出</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教育支出预算</w:t>
      </w:r>
      <w:r w:rsidR="00144AFC">
        <w:rPr>
          <w:rFonts w:ascii="方正仿宋_GBK" w:eastAsia="方正仿宋_GBK" w:hAnsi="仿宋_GB2312" w:cs="仿宋_GB2312" w:hint="eastAsia"/>
          <w:sz w:val="32"/>
        </w:rPr>
        <w:t>，</w:t>
      </w:r>
      <w:r w:rsidR="00144AFC" w:rsidRPr="00074317">
        <w:rPr>
          <w:rFonts w:ascii="方正仿宋_GBK" w:eastAsia="方正仿宋_GBK" w:hAnsi="仿宋_GB2312" w:cs="仿宋_GB2312" w:hint="eastAsia"/>
          <w:sz w:val="32"/>
        </w:rPr>
        <w:t>预算</w:t>
      </w:r>
      <w:r>
        <w:rPr>
          <w:rFonts w:ascii="方正仿宋_GBK" w:eastAsia="方正仿宋_GBK" w:hAnsi="仿宋_GB2312" w:cs="仿宋_GB2312" w:hint="eastAsia"/>
          <w:sz w:val="32"/>
        </w:rPr>
        <w:t>社会保障和就业支出预算295.77万元，卫生健康支出预算 5248.17万元，住房保障支出预算101.09万元。支出预算较2020年增加3.94万元</w:t>
      </w:r>
      <w:r w:rsidR="00144AFC">
        <w:rPr>
          <w:rFonts w:ascii="方正仿宋_GBK" w:eastAsia="方正仿宋_GBK" w:hAnsi="仿宋_GB2312" w:cs="仿宋_GB2312" w:hint="eastAsia"/>
          <w:sz w:val="32"/>
        </w:rPr>
        <w:t>，主要是基本支出预算增加。</w:t>
      </w:r>
    </w:p>
    <w:p w:rsidR="00C5680B" w:rsidRDefault="009B183D">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144AFC" w:rsidRDefault="009B183D">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2021年一般公共预算财政拨款收入1541.35万元，一般公共预算财政拨款支出1541.35万元，比2020年增加11.09万元。</w:t>
      </w:r>
      <w:r w:rsidR="00144AFC">
        <w:rPr>
          <w:rFonts w:ascii="方正仿宋_GBK" w:eastAsia="方正仿宋_GBK" w:hAnsi="仿宋_GB2312" w:cs="仿宋_GB2312" w:hint="eastAsia"/>
          <w:sz w:val="32"/>
        </w:rPr>
        <w:t>主要用于保障</w:t>
      </w:r>
      <w:r w:rsidR="00144AFC" w:rsidRPr="00074317">
        <w:rPr>
          <w:rFonts w:ascii="方正仿宋_GBK" w:eastAsia="方正仿宋_GBK" w:hAnsi="仿宋_GB2312" w:cs="仿宋_GB2312" w:hint="eastAsia"/>
          <w:sz w:val="32"/>
        </w:rPr>
        <w:t>在职人员工资福利及社会保险缴费，退休人员补</w:t>
      </w:r>
      <w:r w:rsidR="00144AFC" w:rsidRPr="00074317">
        <w:rPr>
          <w:rFonts w:ascii="方正仿宋_GBK" w:eastAsia="方正仿宋_GBK" w:hAnsi="仿宋_GB2312" w:cs="仿宋_GB2312" w:hint="eastAsia"/>
          <w:sz w:val="32"/>
        </w:rPr>
        <w:lastRenderedPageBreak/>
        <w:t>助等</w:t>
      </w:r>
      <w:r w:rsidR="00144AFC">
        <w:rPr>
          <w:rFonts w:ascii="方正仿宋_GBK" w:eastAsia="方正仿宋_GBK" w:hAnsi="仿宋_GB2312" w:cs="仿宋_GB2312" w:hint="eastAsia"/>
          <w:sz w:val="32"/>
        </w:rPr>
        <w:t>。</w:t>
      </w:r>
    </w:p>
    <w:p w:rsidR="00144AFC" w:rsidRDefault="00144AFC" w:rsidP="00144AFC">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r w:rsidR="009B183D">
        <w:rPr>
          <w:rFonts w:ascii="方正仿宋_GBK" w:eastAsia="方正仿宋_GBK" w:hAnsi="仿宋_GB2312" w:cs="仿宋_GB2312" w:hint="eastAsia"/>
          <w:sz w:val="32"/>
        </w:rPr>
        <w:t>开州区精神卫生中心</w:t>
      </w:r>
      <w:r w:rsidRPr="00074317">
        <w:rPr>
          <w:rFonts w:ascii="方正仿宋_GBK" w:eastAsia="方正仿宋_GBK" w:hAnsi="仿宋_GB2312" w:cs="仿宋_GB2312" w:hint="eastAsia"/>
          <w:sz w:val="32"/>
        </w:rPr>
        <w:t>2021年无使用政府性基金预算拨款安排的支出</w:t>
      </w:r>
    </w:p>
    <w:p w:rsidR="00C5680B" w:rsidRDefault="009B183D" w:rsidP="00144AFC">
      <w:pPr>
        <w:spacing w:line="56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C5680B" w:rsidRDefault="009B183D">
      <w:pPr>
        <w:spacing w:line="56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2021年“三公”经费预算6万元，</w:t>
      </w:r>
      <w:r w:rsidR="00144AFC">
        <w:rPr>
          <w:rFonts w:ascii="方正仿宋_GBK" w:eastAsia="方正仿宋_GBK" w:hAnsi="仿宋_GB2312" w:cs="仿宋_GB2312" w:hint="eastAsia"/>
          <w:sz w:val="32"/>
        </w:rPr>
        <w:t>与2020年持平，</w:t>
      </w:r>
      <w:r>
        <w:rPr>
          <w:rFonts w:ascii="方正仿宋_GBK" w:eastAsia="方正仿宋_GBK" w:hAnsi="仿宋_GB2312" w:cs="仿宋_GB2312" w:hint="eastAsia"/>
          <w:sz w:val="32"/>
        </w:rPr>
        <w:t>主要是公务用车运行维护费用。</w:t>
      </w:r>
      <w:r>
        <w:rPr>
          <w:rFonts w:ascii="方正仿宋_GBK" w:eastAsia="方正仿宋_GBK" w:hAnsi="仿宋_GB2312" w:cs="仿宋_GB2312"/>
          <w:sz w:val="32"/>
        </w:rPr>
        <w:t xml:space="preserve"> </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因公出国（境）费用</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公务接待费</w:t>
      </w:r>
      <w:r w:rsidR="00144AFC">
        <w:rPr>
          <w:rFonts w:ascii="方正仿宋_GBK" w:eastAsia="方正仿宋_GBK" w:hAnsi="仿宋_GB2312" w:cs="仿宋_GB2312" w:hint="eastAsia"/>
          <w:sz w:val="32"/>
        </w:rPr>
        <w:t>，无</w:t>
      </w:r>
      <w:r w:rsidR="00144AFC" w:rsidRPr="00074317">
        <w:rPr>
          <w:rFonts w:ascii="方正仿宋_GBK" w:eastAsia="方正仿宋_GBK" w:hAnsi="仿宋_GB2312" w:cs="仿宋_GB2312" w:hint="eastAsia"/>
          <w:sz w:val="32"/>
        </w:rPr>
        <w:t>公务用车购置费</w:t>
      </w:r>
      <w:r w:rsidR="00144AFC">
        <w:rPr>
          <w:rFonts w:ascii="方正仿宋_GBK" w:eastAsia="方正仿宋_GBK" w:hAnsi="仿宋_GB2312" w:cs="仿宋_GB2312" w:hint="eastAsia"/>
          <w:sz w:val="32"/>
        </w:rPr>
        <w:t>。</w:t>
      </w:r>
    </w:p>
    <w:p w:rsidR="00C5680B" w:rsidRDefault="009B183D">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C5680B" w:rsidRDefault="009B183D">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757539" w:rsidRPr="00074317" w:rsidRDefault="009B183D" w:rsidP="0075753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757539" w:rsidRPr="00074317">
        <w:rPr>
          <w:rFonts w:ascii="方正仿宋_GBK" w:eastAsia="方正仿宋_GBK" w:hAnsi="仿宋_GB2312" w:cs="仿宋_GB2312" w:hint="eastAsia"/>
          <w:sz w:val="32"/>
        </w:rPr>
        <w:t>政府采购情况。所属各预算单位政府采购预算总额</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万元：政府采购货物预算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万元、政府采购工程预算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万元、政府采购服务预算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万元；其中一般公共预算拨款政府采购</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万元：政府采购货物预算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万元、政府采购工程预算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万元、政府采购服务预算</w:t>
      </w:r>
      <w:r w:rsidR="00757539">
        <w:rPr>
          <w:rFonts w:ascii="方正仿宋_GBK" w:eastAsia="方正仿宋_GBK" w:hAnsi="仿宋_GB2312" w:cs="仿宋_GB2312" w:hint="eastAsia"/>
          <w:sz w:val="32"/>
        </w:rPr>
        <w:t>0</w:t>
      </w:r>
      <w:r w:rsidR="00757539" w:rsidRPr="00074317">
        <w:rPr>
          <w:rFonts w:ascii="方正仿宋_GBK" w:eastAsia="方正仿宋_GBK" w:hAnsi="仿宋_GB2312" w:cs="仿宋_GB2312" w:hint="eastAsia"/>
          <w:sz w:val="32"/>
        </w:rPr>
        <w:t>万元。</w:t>
      </w:r>
    </w:p>
    <w:p w:rsidR="00757539" w:rsidRDefault="009B183D">
      <w:pPr>
        <w:spacing w:line="560" w:lineRule="exact"/>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3.绩效目标设置情况。</w:t>
      </w:r>
      <w:r w:rsidR="00757539" w:rsidRPr="00074317">
        <w:rPr>
          <w:rFonts w:ascii="方正仿宋_GBK" w:eastAsia="方正仿宋_GBK" w:hAnsi="仿宋_GB2312" w:cs="仿宋_GB2312" w:hint="eastAsia"/>
          <w:color w:val="000000"/>
          <w:sz w:val="32"/>
        </w:rPr>
        <w:t>2021年项目支出均实行了绩效目标管理，涉及一般公共预算当年财政拨款</w:t>
      </w:r>
      <w:r w:rsidR="00757539">
        <w:rPr>
          <w:rFonts w:ascii="方正仿宋_GBK" w:eastAsia="方正仿宋_GBK" w:hAnsi="仿宋_GB2312" w:cs="仿宋_GB2312" w:hint="eastAsia"/>
          <w:color w:val="000000"/>
          <w:sz w:val="32"/>
        </w:rPr>
        <w:t>0</w:t>
      </w:r>
      <w:r w:rsidR="00757539" w:rsidRPr="00074317">
        <w:rPr>
          <w:rFonts w:ascii="方正仿宋_GBK" w:eastAsia="方正仿宋_GBK" w:hAnsi="仿宋_GB2312" w:cs="仿宋_GB2312" w:hint="eastAsia"/>
          <w:color w:val="000000"/>
          <w:sz w:val="32"/>
        </w:rPr>
        <w:t>万元。</w:t>
      </w:r>
    </w:p>
    <w:p w:rsidR="00C5680B" w:rsidRDefault="009B183D">
      <w:pPr>
        <w:spacing w:line="560" w:lineRule="exact"/>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4.国有资产占有使用情况。截止2020</w:t>
      </w:r>
      <w:bookmarkStart w:id="0" w:name="_GoBack"/>
      <w:bookmarkEnd w:id="0"/>
      <w:r>
        <w:rPr>
          <w:rFonts w:ascii="方正仿宋_GBK" w:eastAsia="方正仿宋_GBK" w:hAnsi="仿宋_GB2312" w:cs="仿宋_GB2312" w:hint="eastAsia"/>
          <w:color w:val="000000"/>
          <w:sz w:val="32"/>
        </w:rPr>
        <w:t>年12月，</w:t>
      </w:r>
      <w:r w:rsidR="00EF6255">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w:t>
      </w:r>
      <w:r w:rsidR="00757539">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辆，其中</w:t>
      </w:r>
      <w:r w:rsidR="005C5970">
        <w:rPr>
          <w:rFonts w:ascii="方正仿宋_GBK" w:eastAsia="方正仿宋_GBK" w:hint="eastAsia"/>
          <w:sz w:val="32"/>
          <w:szCs w:val="32"/>
        </w:rPr>
        <w:t>特种专业技术用车</w:t>
      </w:r>
      <w:r w:rsidR="00757539">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辆。</w:t>
      </w:r>
      <w:r w:rsidR="00757539" w:rsidRPr="00074317">
        <w:rPr>
          <w:rFonts w:ascii="方正仿宋_GBK" w:eastAsia="方正仿宋_GBK" w:hAnsi="仿宋_GB2312" w:cs="仿宋_GB2312" w:hint="eastAsia"/>
          <w:color w:val="000000"/>
          <w:sz w:val="32"/>
        </w:rPr>
        <w:t>2021年一般公共预算安排购置车辆</w:t>
      </w:r>
      <w:r w:rsidR="00757539">
        <w:rPr>
          <w:rFonts w:ascii="方正仿宋_GBK" w:eastAsia="方正仿宋_GBK" w:hAnsi="仿宋_GB2312" w:cs="仿宋_GB2312" w:hint="eastAsia"/>
          <w:color w:val="000000"/>
          <w:sz w:val="32"/>
        </w:rPr>
        <w:t>0</w:t>
      </w:r>
      <w:r w:rsidR="00757539" w:rsidRPr="00074317">
        <w:rPr>
          <w:rFonts w:ascii="方正仿宋_GBK" w:eastAsia="方正仿宋_GBK" w:hAnsi="仿宋_GB2312" w:cs="仿宋_GB2312" w:hint="eastAsia"/>
          <w:color w:val="000000"/>
          <w:sz w:val="32"/>
        </w:rPr>
        <w:t>辆</w:t>
      </w:r>
    </w:p>
    <w:p w:rsidR="00C5680B" w:rsidRDefault="009B183D">
      <w:pPr>
        <w:spacing w:line="560" w:lineRule="exact"/>
        <w:ind w:left="640"/>
        <w:rPr>
          <w:rFonts w:ascii="方正仿宋_GBK" w:eastAsia="方正仿宋_GBK" w:hAnsi="Calibri"/>
          <w:sz w:val="32"/>
          <w:szCs w:val="32"/>
        </w:rPr>
      </w:pPr>
      <w:r>
        <w:rPr>
          <w:rFonts w:ascii="方正黑体_GBK" w:eastAsia="方正黑体_GBK" w:hAnsi="黑体" w:cs="仿宋_GB2312" w:hint="eastAsia"/>
          <w:sz w:val="32"/>
        </w:rPr>
        <w:t>六、专业性名词解释</w:t>
      </w:r>
    </w:p>
    <w:p w:rsidR="00C5680B" w:rsidRDefault="009B183D">
      <w:pPr>
        <w:tabs>
          <w:tab w:val="center" w:pos="4153"/>
          <w:tab w:val="left" w:pos="7275"/>
        </w:tabs>
        <w:spacing w:line="56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Calibri" w:hint="eastAsia"/>
          <w:sz w:val="32"/>
          <w:szCs w:val="32"/>
        </w:rPr>
        <w:t>：指本年度从本级财政部门取得的财政拨款，包括一般公共预算财政拨款和政府性基金预算财政拨</w:t>
      </w:r>
      <w:r>
        <w:rPr>
          <w:rFonts w:ascii="方正仿宋_GBK" w:eastAsia="方正仿宋_GBK" w:hAnsi="Calibri" w:hint="eastAsia"/>
          <w:sz w:val="32"/>
          <w:szCs w:val="32"/>
        </w:rPr>
        <w:lastRenderedPageBreak/>
        <w:t>款。</w:t>
      </w:r>
    </w:p>
    <w:p w:rsidR="00C5680B" w:rsidRDefault="009B183D">
      <w:pPr>
        <w:tabs>
          <w:tab w:val="center" w:pos="4153"/>
          <w:tab w:val="left" w:pos="7275"/>
        </w:tabs>
        <w:spacing w:line="56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Calibri" w:hint="eastAsia"/>
          <w:sz w:val="32"/>
          <w:szCs w:val="32"/>
        </w:rPr>
        <w:t>指单位取得的除“财政拨款收入”、“事业收入”、“经营收入”等以外的收入。</w:t>
      </w:r>
    </w:p>
    <w:p w:rsidR="00C5680B" w:rsidRDefault="009B183D">
      <w:pPr>
        <w:tabs>
          <w:tab w:val="center" w:pos="4153"/>
          <w:tab w:val="left" w:pos="7275"/>
        </w:tabs>
        <w:spacing w:line="56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（三）基本支出：</w:t>
      </w:r>
      <w:r>
        <w:rPr>
          <w:rFonts w:ascii="方正仿宋_GBK" w:eastAsia="方正仿宋_GBK" w:hAnsi="Calibri" w:hint="eastAsia"/>
          <w:sz w:val="32"/>
          <w:szCs w:val="32"/>
        </w:rPr>
        <w:t>指为保障机构正常运转、完成日常工作任务而发生的人员经费和公用经费。</w:t>
      </w:r>
    </w:p>
    <w:p w:rsidR="00C5680B" w:rsidRDefault="009B183D">
      <w:pPr>
        <w:tabs>
          <w:tab w:val="center" w:pos="4153"/>
          <w:tab w:val="left" w:pos="7275"/>
        </w:tabs>
        <w:spacing w:line="560" w:lineRule="exact"/>
        <w:ind w:firstLineChars="200" w:firstLine="640"/>
        <w:jc w:val="left"/>
        <w:rPr>
          <w:rFonts w:ascii="方正仿宋_GBK" w:eastAsia="方正仿宋_GBK" w:hAnsi="Calibri"/>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Calibri" w:hint="eastAsia"/>
          <w:sz w:val="32"/>
          <w:szCs w:val="32"/>
        </w:rPr>
        <w:t>指在基本支出之外为完成特定行政任务和事业发展目标所发生的支出。</w:t>
      </w:r>
    </w:p>
    <w:p w:rsidR="00C5680B" w:rsidRDefault="009B183D">
      <w:pPr>
        <w:spacing w:line="560" w:lineRule="exact"/>
        <w:ind w:firstLineChars="200" w:firstLine="640"/>
        <w:rPr>
          <w:rFonts w:ascii="方正仿宋_GBK" w:eastAsia="方正仿宋_GBK" w:hAnsi="Calibri"/>
          <w:sz w:val="32"/>
          <w:szCs w:val="32"/>
        </w:rPr>
      </w:pPr>
      <w:r>
        <w:rPr>
          <w:rFonts w:ascii="方正楷体_GBK" w:eastAsia="方正楷体_GBK" w:hAnsi="方正楷体_GBK" w:cs="方正楷体_GBK" w:hint="eastAsia"/>
          <w:sz w:val="32"/>
          <w:szCs w:val="32"/>
        </w:rPr>
        <w:t>（五）“三公”经费：</w:t>
      </w:r>
      <w:r>
        <w:rPr>
          <w:rFonts w:ascii="方正仿宋_GBK" w:eastAsia="方正仿宋_GBK" w:hAnsi="Calibri"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5680B" w:rsidRDefault="00C5680B">
      <w:pPr>
        <w:spacing w:line="560" w:lineRule="exact"/>
        <w:ind w:firstLineChars="200" w:firstLine="640"/>
        <w:rPr>
          <w:rFonts w:ascii="方正仿宋_GBK" w:eastAsia="方正仿宋_GBK" w:hAnsi="Calibri"/>
          <w:sz w:val="32"/>
          <w:szCs w:val="32"/>
        </w:rPr>
      </w:pPr>
    </w:p>
    <w:p w:rsidR="00C5680B" w:rsidRDefault="009B183D">
      <w:pPr>
        <w:spacing w:line="560" w:lineRule="exact"/>
        <w:ind w:firstLineChars="200" w:firstLine="640"/>
        <w:rPr>
          <w:rFonts w:ascii="方正黑体_GBK" w:eastAsia="方正黑体_GBK" w:hAnsi="方正黑体_GBK" w:cs="方正黑体_GBK"/>
          <w:bCs/>
          <w:sz w:val="32"/>
        </w:rPr>
      </w:pPr>
      <w:r>
        <w:rPr>
          <w:rFonts w:ascii="方正黑体_GBK" w:eastAsia="方正黑体_GBK" w:hAnsi="方正黑体_GBK" w:cs="方正黑体_GBK" w:hint="eastAsia"/>
          <w:bCs/>
          <w:sz w:val="32"/>
        </w:rPr>
        <w:t>部门预算公开联系人：赵淑涛  联系方式：赵淑涛 023-52661088</w:t>
      </w:r>
    </w:p>
    <w:p w:rsidR="00C5680B" w:rsidRDefault="00C5680B">
      <w:pPr>
        <w:spacing w:line="560" w:lineRule="exact"/>
        <w:ind w:firstLineChars="900" w:firstLine="2880"/>
        <w:rPr>
          <w:rFonts w:ascii="方正仿宋_GBK" w:eastAsia="方正仿宋_GBK" w:hAnsi="Calibri"/>
          <w:sz w:val="32"/>
          <w:szCs w:val="32"/>
        </w:rPr>
      </w:pPr>
    </w:p>
    <w:p w:rsidR="00C5680B" w:rsidRDefault="00C5680B">
      <w:pPr>
        <w:spacing w:line="560" w:lineRule="exact"/>
        <w:ind w:firstLineChars="200" w:firstLine="420"/>
      </w:pPr>
    </w:p>
    <w:p w:rsidR="00C5680B" w:rsidRDefault="00C5680B">
      <w:pPr>
        <w:spacing w:line="560" w:lineRule="exact"/>
      </w:pPr>
    </w:p>
    <w:sectPr w:rsidR="00C5680B" w:rsidSect="00C5680B">
      <w:headerReference w:type="even" r:id="rId6"/>
      <w:headerReference w:type="default" r:id="rId7"/>
      <w:footerReference w:type="even" r:id="rId8"/>
      <w:footerReference w:type="default" r:id="rId9"/>
      <w:headerReference w:type="first" r:id="rId10"/>
      <w:footerReference w:type="first" r:id="rId11"/>
      <w:pgSz w:w="11906" w:h="16838"/>
      <w:pgMar w:top="2098" w:right="1587" w:bottom="2098"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057" w:rsidRDefault="00767057" w:rsidP="00C5680B">
      <w:r>
        <w:separator/>
      </w:r>
    </w:p>
  </w:endnote>
  <w:endnote w:type="continuationSeparator" w:id="1">
    <w:p w:rsidR="00767057" w:rsidRDefault="00767057" w:rsidP="00C568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5" w:rsidRDefault="00EF62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5" w:rsidRDefault="00EF625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5" w:rsidRDefault="00EF62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057" w:rsidRDefault="00767057" w:rsidP="00C5680B">
      <w:r>
        <w:separator/>
      </w:r>
    </w:p>
  </w:footnote>
  <w:footnote w:type="continuationSeparator" w:id="1">
    <w:p w:rsidR="00767057" w:rsidRDefault="00767057" w:rsidP="00C5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5" w:rsidRDefault="00EF62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0B" w:rsidRDefault="00C5680B" w:rsidP="00EF625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55" w:rsidRDefault="00EF625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JiY2JmMTFlODk1ZGQ5NTg0MGI3Yjk0NzQ2OWZkOGIifQ=="/>
  </w:docVars>
  <w:rsids>
    <w:rsidRoot w:val="008C1771"/>
    <w:rsid w:val="000815EE"/>
    <w:rsid w:val="00144AFC"/>
    <w:rsid w:val="001D1E4E"/>
    <w:rsid w:val="001D3E6B"/>
    <w:rsid w:val="00280469"/>
    <w:rsid w:val="002E260F"/>
    <w:rsid w:val="004A1F41"/>
    <w:rsid w:val="00562BBB"/>
    <w:rsid w:val="005C5970"/>
    <w:rsid w:val="006162CE"/>
    <w:rsid w:val="006308E2"/>
    <w:rsid w:val="006C25D2"/>
    <w:rsid w:val="007438BA"/>
    <w:rsid w:val="00757539"/>
    <w:rsid w:val="00767057"/>
    <w:rsid w:val="008C1771"/>
    <w:rsid w:val="008D3E42"/>
    <w:rsid w:val="009B183D"/>
    <w:rsid w:val="009E54F8"/>
    <w:rsid w:val="00B01172"/>
    <w:rsid w:val="00B41890"/>
    <w:rsid w:val="00C5680B"/>
    <w:rsid w:val="00CE289E"/>
    <w:rsid w:val="00D6374C"/>
    <w:rsid w:val="00EF6255"/>
    <w:rsid w:val="00F22EFA"/>
    <w:rsid w:val="11C86CBF"/>
    <w:rsid w:val="42E261CE"/>
    <w:rsid w:val="46AF29D8"/>
    <w:rsid w:val="48C42839"/>
    <w:rsid w:val="5CCF51F0"/>
    <w:rsid w:val="5E805C05"/>
    <w:rsid w:val="6141526A"/>
    <w:rsid w:val="6F9F20DC"/>
    <w:rsid w:val="6FCC5CEA"/>
    <w:rsid w:val="71B22C95"/>
    <w:rsid w:val="7C0E1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0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5680B"/>
    <w:pPr>
      <w:tabs>
        <w:tab w:val="center" w:pos="4153"/>
        <w:tab w:val="right" w:pos="8306"/>
      </w:tabs>
      <w:snapToGrid w:val="0"/>
      <w:jc w:val="left"/>
    </w:pPr>
    <w:rPr>
      <w:sz w:val="18"/>
      <w:szCs w:val="18"/>
    </w:rPr>
  </w:style>
  <w:style w:type="paragraph" w:styleId="a4">
    <w:name w:val="header"/>
    <w:basedOn w:val="a"/>
    <w:link w:val="Char0"/>
    <w:uiPriority w:val="99"/>
    <w:qFormat/>
    <w:rsid w:val="00C568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5680B"/>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568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谢芝琼</cp:lastModifiedBy>
  <cp:revision>8</cp:revision>
  <cp:lastPrinted>2022-02-10T07:10:00Z</cp:lastPrinted>
  <dcterms:created xsi:type="dcterms:W3CDTF">2022-02-10T04:40:00Z</dcterms:created>
  <dcterms:modified xsi:type="dcterms:W3CDTF">2022-09-02T03:15:00Z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16D39852219E4B2498F9664390280131</vt:lpwstr>
  </property>
</Properties>
</file>