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hd w:val="clear" w:color="auto" w:fill="FFFFFF"/>
        <w:autoSpaceDN w:val="0"/>
        <w:adjustRightInd w:val="0"/>
        <w:jc w:val="both"/>
        <w:rPr>
          <w:rFonts w:ascii="方正小标宋_GBK" w:eastAsia="方正小标宋_GBK"/>
          <w:sz w:val="44"/>
          <w:szCs w:val="44"/>
          <w:shd w:val="clear" w:color="auto" w:fill="FFFFFF"/>
        </w:rPr>
      </w:pPr>
      <w:r>
        <w:rPr>
          <w:rFonts w:hint="eastAsia" w:ascii="方正小标宋_GBK" w:hAnsi="宋体" w:eastAsia="方正小标宋_GBK"/>
          <w:sz w:val="44"/>
          <w:szCs w:val="44"/>
          <w:shd w:val="clear" w:color="auto" w:fill="FFFFFF"/>
        </w:rPr>
        <w:t>重庆市开州区正安街道社区卫生服务中心</w:t>
      </w:r>
    </w:p>
    <w:p>
      <w:pPr>
        <w:adjustRightInd w:val="0"/>
        <w:spacing w:line="600" w:lineRule="exact"/>
        <w:jc w:val="center"/>
        <w:rPr>
          <w:rFonts w:ascii="方正小标宋_GBK" w:hAnsi="华文中宋" w:eastAsia="方正小标宋_GBK" w:cs="华文中宋"/>
          <w:sz w:val="44"/>
          <w:szCs w:val="44"/>
        </w:rPr>
      </w:pPr>
      <w:r>
        <w:rPr>
          <w:rFonts w:hint="eastAsia" w:ascii="方正小标宋_GBK" w:hAnsi="华文中宋" w:eastAsia="方正小标宋_GBK" w:cs="华文中宋"/>
          <w:sz w:val="44"/>
          <w:szCs w:val="44"/>
        </w:rPr>
        <w:t>2022年部门预算情况说明</w:t>
      </w:r>
    </w:p>
    <w:p>
      <w:pPr>
        <w:adjustRightInd w:val="0"/>
        <w:spacing w:line="600" w:lineRule="exact"/>
        <w:ind w:firstLine="880" w:firstLineChars="200"/>
        <w:jc w:val="center"/>
        <w:rPr>
          <w:rFonts w:ascii="华文中宋" w:hAnsi="华文中宋" w:eastAsia="华文中宋" w:cs="华文中宋"/>
          <w:sz w:val="44"/>
          <w:szCs w:val="44"/>
        </w:rPr>
      </w:pPr>
    </w:p>
    <w:p>
      <w:pPr>
        <w:adjustRightInd w:val="0"/>
        <w:spacing w:line="600" w:lineRule="exact"/>
        <w:ind w:firstLine="640" w:firstLineChars="200"/>
        <w:rPr>
          <w:rFonts w:ascii="方正黑体_GBK" w:hAnsi="黑体" w:eastAsia="方正黑体_GBK" w:cs="仿宋_GB2312"/>
          <w:sz w:val="32"/>
        </w:rPr>
      </w:pPr>
      <w:r>
        <w:rPr>
          <w:rFonts w:hint="eastAsia" w:ascii="方正黑体_GBK" w:hAnsi="黑体" w:eastAsia="方正黑体_GBK" w:cs="仿宋_GB2312"/>
          <w:sz w:val="32"/>
        </w:rPr>
        <w:t>一、单位基本情况</w:t>
      </w:r>
    </w:p>
    <w:p>
      <w:pPr>
        <w:adjustRightInd w:val="0"/>
        <w:spacing w:line="600" w:lineRule="exact"/>
        <w:ind w:firstLine="640" w:firstLineChars="200"/>
        <w:rPr>
          <w:rFonts w:ascii="方正楷体_GBK" w:hAnsi="仿宋_GB2312" w:eastAsia="方正楷体_GBK" w:cs="仿宋_GB2312"/>
          <w:sz w:val="32"/>
        </w:rPr>
      </w:pPr>
      <w:r>
        <w:rPr>
          <w:rFonts w:hint="eastAsia" w:ascii="方正楷体_GBK" w:hAnsi="仿宋_GB2312" w:eastAsia="方正楷体_GBK" w:cs="仿宋_GB2312"/>
          <w:sz w:val="32"/>
        </w:rPr>
        <w:t>（一）职能职责。</w:t>
      </w:r>
    </w:p>
    <w:p>
      <w:pPr>
        <w:pStyle w:val="6"/>
        <w:shd w:val="clear" w:color="auto" w:fill="FFFFFF"/>
        <w:autoSpaceDN w:val="0"/>
        <w:adjustRightInd w:val="0"/>
        <w:spacing w:line="600" w:lineRule="exact"/>
        <w:ind w:firstLine="640" w:firstLineChars="200"/>
        <w:rPr>
          <w:rFonts w:ascii="方正仿宋_GBK" w:eastAsia="方正仿宋_GBK"/>
          <w:sz w:val="32"/>
          <w:szCs w:val="32"/>
          <w:shd w:val="clear" w:color="auto" w:fill="FFFFFF"/>
        </w:rPr>
      </w:pPr>
      <w:r>
        <w:rPr>
          <w:rFonts w:hint="eastAsia" w:ascii="方正仿宋_GBK" w:hAnsi="宋体" w:eastAsia="方正仿宋_GBK"/>
          <w:sz w:val="32"/>
          <w:szCs w:val="32"/>
          <w:shd w:val="clear" w:color="auto" w:fill="FFFFFF"/>
        </w:rPr>
        <w:t xml:space="preserve">开州区正安街道社区卫生服务中心主要职责是在政府领导、社区参与、上级主管局指导下，以基层卫生机构为主体为人民身体健康提供基本医疗、公共卫生以及医养结合服务；常见病多发病诊治与护理、卫生防疫、保健与健康教育；贯彻落实医养结合政策措施，开展医疗服务与养老服务相结合的有关工作；负责老年人医疗照护、慢性病康复、心理健康咨询与养老关怀服务等相关工作。 </w:t>
      </w:r>
    </w:p>
    <w:p>
      <w:pPr>
        <w:tabs>
          <w:tab w:val="center" w:pos="4153"/>
          <w:tab w:val="left" w:pos="7275"/>
        </w:tabs>
        <w:adjustRightInd w:val="0"/>
        <w:spacing w:line="600" w:lineRule="exact"/>
        <w:ind w:firstLine="640" w:firstLineChars="200"/>
        <w:jc w:val="left"/>
        <w:rPr>
          <w:rFonts w:ascii="方正楷体_GBK" w:hAnsi="仿宋_GB2312" w:eastAsia="方正楷体_GBK" w:cs="仿宋_GB2312"/>
          <w:sz w:val="32"/>
        </w:rPr>
      </w:pPr>
      <w:r>
        <w:rPr>
          <w:rFonts w:hint="eastAsia" w:ascii="方正楷体_GBK" w:hAnsi="仿宋_GB2312" w:eastAsia="方正楷体_GBK" w:cs="仿宋_GB2312"/>
          <w:sz w:val="32"/>
        </w:rPr>
        <w:t>（二）单位构成。</w:t>
      </w:r>
    </w:p>
    <w:p>
      <w:pPr>
        <w:adjustRightInd w:val="0"/>
        <w:spacing w:line="600" w:lineRule="exact"/>
        <w:ind w:firstLine="640" w:firstLineChars="200"/>
        <w:rPr>
          <w:rFonts w:hint="eastAsia" w:ascii="方正仿宋_GBK" w:hAnsi="宋体" w:eastAsia="方正仿宋_GBK" w:cs="Times New Roman"/>
          <w:sz w:val="32"/>
          <w:szCs w:val="32"/>
          <w:shd w:val="clear" w:color="auto" w:fill="FFFFFF"/>
        </w:rPr>
      </w:pPr>
      <w:r>
        <w:rPr>
          <w:rFonts w:hint="eastAsia" w:ascii="方正仿宋_GBK" w:hAnsi="宋体" w:eastAsia="方正仿宋_GBK" w:cs="Times New Roman"/>
          <w:sz w:val="32"/>
          <w:szCs w:val="32"/>
          <w:shd w:val="clear" w:color="auto" w:fill="FFFFFF"/>
        </w:rPr>
        <w:t>全院202</w:t>
      </w:r>
      <w:r>
        <w:rPr>
          <w:rFonts w:hint="eastAsia" w:ascii="方正仿宋_GBK" w:hAnsi="宋体" w:eastAsia="方正仿宋_GBK"/>
          <w:sz w:val="32"/>
          <w:szCs w:val="32"/>
          <w:shd w:val="clear" w:color="auto" w:fill="FFFFFF"/>
        </w:rPr>
        <w:t>2</w:t>
      </w:r>
      <w:r>
        <w:rPr>
          <w:rFonts w:hint="eastAsia" w:ascii="方正仿宋_GBK" w:hAnsi="宋体" w:eastAsia="方正仿宋_GBK" w:cs="Times New Roman"/>
          <w:sz w:val="32"/>
          <w:szCs w:val="32"/>
          <w:shd w:val="clear" w:color="auto" w:fill="FFFFFF"/>
        </w:rPr>
        <w:t>年在编在岗职工3</w:t>
      </w:r>
      <w:r>
        <w:rPr>
          <w:rFonts w:hint="eastAsia" w:ascii="方正仿宋_GBK" w:hAnsi="宋体" w:eastAsia="方正仿宋_GBK"/>
          <w:sz w:val="32"/>
          <w:szCs w:val="32"/>
          <w:shd w:val="clear" w:color="auto" w:fill="FFFFFF"/>
        </w:rPr>
        <w:t>5</w:t>
      </w:r>
      <w:r>
        <w:rPr>
          <w:rFonts w:hint="eastAsia" w:ascii="方正仿宋_GBK" w:hAnsi="宋体" w:eastAsia="方正仿宋_GBK" w:cs="Times New Roman"/>
          <w:sz w:val="32"/>
          <w:szCs w:val="32"/>
          <w:shd w:val="clear" w:color="auto" w:fill="FFFFFF"/>
        </w:rPr>
        <w:t>人。其中事业管理人员5人；事业专业技术人员3</w:t>
      </w:r>
      <w:r>
        <w:rPr>
          <w:rFonts w:hint="eastAsia" w:ascii="方正仿宋_GBK" w:hAnsi="宋体" w:eastAsia="方正仿宋_GBK"/>
          <w:sz w:val="32"/>
          <w:szCs w:val="32"/>
          <w:shd w:val="clear" w:color="auto" w:fill="FFFFFF"/>
        </w:rPr>
        <w:t>0</w:t>
      </w:r>
      <w:r>
        <w:rPr>
          <w:rFonts w:hint="eastAsia" w:ascii="方正仿宋_GBK" w:hAnsi="宋体" w:eastAsia="方正仿宋_GBK" w:cs="Times New Roman"/>
          <w:sz w:val="32"/>
          <w:szCs w:val="32"/>
          <w:shd w:val="clear" w:color="auto" w:fill="FFFFFF"/>
        </w:rPr>
        <w:t>人（其中：副高级职称3人，中级7人，初级2</w:t>
      </w:r>
      <w:r>
        <w:rPr>
          <w:rFonts w:hint="eastAsia" w:ascii="方正仿宋_GBK" w:hAnsi="宋体" w:eastAsia="方正仿宋_GBK"/>
          <w:sz w:val="32"/>
          <w:szCs w:val="32"/>
          <w:shd w:val="clear" w:color="auto" w:fill="FFFFFF"/>
        </w:rPr>
        <w:t>0</w:t>
      </w:r>
      <w:r>
        <w:rPr>
          <w:rFonts w:hint="eastAsia" w:ascii="方正仿宋_GBK" w:hAnsi="宋体" w:eastAsia="方正仿宋_GBK" w:cs="Times New Roman"/>
          <w:sz w:val="32"/>
          <w:szCs w:val="32"/>
          <w:shd w:val="clear" w:color="auto" w:fill="FFFFFF"/>
        </w:rPr>
        <w:t>人）；临聘1</w:t>
      </w:r>
      <w:r>
        <w:rPr>
          <w:rFonts w:hint="eastAsia" w:ascii="方正仿宋_GBK" w:hAnsi="宋体" w:eastAsia="方正仿宋_GBK"/>
          <w:sz w:val="32"/>
          <w:szCs w:val="32"/>
          <w:shd w:val="clear" w:color="auto" w:fill="FFFFFF"/>
        </w:rPr>
        <w:t>7</w:t>
      </w:r>
      <w:r>
        <w:rPr>
          <w:rFonts w:hint="eastAsia" w:ascii="方正仿宋_GBK" w:hAnsi="宋体" w:eastAsia="方正仿宋_GBK" w:cs="Times New Roman"/>
          <w:sz w:val="32"/>
          <w:szCs w:val="32"/>
          <w:shd w:val="clear" w:color="auto" w:fill="FFFFFF"/>
        </w:rPr>
        <w:t>人；退休人员23人。编制床位65张，实际开放床位80张。中心开设内科、外科、妇（儿）科、中医科、康复理疗科、公共卫生管理科、影像（放射、超声）科、检验科、心电图室、中（西）药房、账务科、医务科等多个科室。</w:t>
      </w:r>
    </w:p>
    <w:p>
      <w:pPr>
        <w:keepNext w:val="0"/>
        <w:keepLines w:val="0"/>
        <w:pageBreakBefore w:val="0"/>
        <w:widowControl w:val="0"/>
        <w:tabs>
          <w:tab w:val="left" w:pos="470"/>
          <w:tab w:val="left" w:pos="635"/>
        </w:tabs>
        <w:kinsoku/>
        <w:wordWrap/>
        <w:overflowPunct/>
        <w:topLinePunct w:val="0"/>
        <w:autoSpaceDE/>
        <w:autoSpaceDN/>
        <w:bidi w:val="0"/>
        <w:adjustRightInd/>
        <w:snapToGrid/>
        <w:spacing w:line="600" w:lineRule="exact"/>
        <w:ind w:firstLine="640" w:firstLineChars="200"/>
        <w:textAlignment w:val="auto"/>
        <w:outlineLvl w:val="9"/>
        <w:rPr>
          <w:rFonts w:hint="eastAsia" w:ascii="方正仿宋_GBK" w:hAnsi="宋体" w:eastAsia="方正仿宋_GBK" w:cs="Times New Roman"/>
          <w:sz w:val="32"/>
          <w:szCs w:val="32"/>
          <w:shd w:val="clear" w:color="auto" w:fill="FFFFFF"/>
        </w:rPr>
      </w:pPr>
      <w:r>
        <w:rPr>
          <w:rFonts w:eastAsia="方正楷体_GBK"/>
          <w:sz w:val="32"/>
          <w:szCs w:val="32"/>
        </w:rPr>
        <w:t>（</w:t>
      </w:r>
      <w:r>
        <w:rPr>
          <w:rFonts w:hint="eastAsia" w:eastAsia="方正楷体_GBK"/>
          <w:sz w:val="32"/>
          <w:szCs w:val="32"/>
        </w:rPr>
        <w:t>三</w:t>
      </w:r>
      <w:r>
        <w:rPr>
          <w:rFonts w:eastAsia="方正楷体_GBK"/>
          <w:sz w:val="32"/>
          <w:szCs w:val="32"/>
        </w:rPr>
        <w:t>）单位构成</w:t>
      </w:r>
    </w:p>
    <w:p>
      <w:pPr>
        <w:adjustRightInd w:val="0"/>
        <w:spacing w:line="600" w:lineRule="exact"/>
        <w:ind w:firstLine="640" w:firstLineChars="200"/>
        <w:rPr>
          <w:rFonts w:hint="eastAsia" w:ascii="方正仿宋_GBK" w:hAnsi="宋体" w:eastAsia="方正仿宋_GBK" w:cs="Times New Roman"/>
          <w:sz w:val="32"/>
          <w:szCs w:val="32"/>
          <w:shd w:val="clear" w:color="auto" w:fill="FFFFFF"/>
        </w:rPr>
      </w:pPr>
      <w:r>
        <w:rPr>
          <w:rFonts w:hint="eastAsia" w:ascii="方正仿宋_GBK" w:hAnsi="宋体" w:eastAsia="方正仿宋_GBK" w:cs="Times New Roman"/>
          <w:sz w:val="32"/>
          <w:szCs w:val="32"/>
          <w:shd w:val="clear" w:color="auto" w:fill="FFFFFF"/>
        </w:rPr>
        <w:t>从预算单位构成看，本单位是二级预算单位，主管部门是重庆市开州区卫生健康委员会。</w:t>
      </w:r>
    </w:p>
    <w:p>
      <w:pPr>
        <w:adjustRightInd w:val="0"/>
        <w:spacing w:line="600" w:lineRule="exact"/>
        <w:ind w:firstLine="640" w:firstLineChars="200"/>
        <w:rPr>
          <w:rFonts w:ascii="方正仿宋_GBK" w:hAnsi="黑体" w:eastAsia="方正仿宋_GBK" w:cs="仿宋_GB2312"/>
          <w:sz w:val="32"/>
        </w:rPr>
      </w:pPr>
      <w:r>
        <w:rPr>
          <w:rFonts w:hint="eastAsia" w:ascii="方正黑体_GBK" w:hAnsi="黑体" w:eastAsia="方正黑体_GBK" w:cs="仿宋_GB2312"/>
          <w:sz w:val="32"/>
        </w:rPr>
        <w:t>二、部门收支总体情况</w:t>
      </w:r>
    </w:p>
    <w:p>
      <w:pPr>
        <w:adjustRightInd w:val="0"/>
        <w:spacing w:line="600" w:lineRule="exact"/>
        <w:ind w:firstLine="640" w:firstLineChars="200"/>
        <w:rPr>
          <w:rFonts w:ascii="方正仿宋_GBK" w:hAnsi="仿宋_GB2312" w:eastAsia="方正仿宋_GBK" w:cs="仿宋_GB2312"/>
          <w:sz w:val="32"/>
        </w:rPr>
      </w:pPr>
      <w:r>
        <w:rPr>
          <w:rFonts w:hint="eastAsia" w:ascii="方正楷体_GBK" w:hAnsi="仿宋_GB2312" w:eastAsia="方正楷体_GBK" w:cs="仿宋_GB2312"/>
          <w:sz w:val="32"/>
        </w:rPr>
        <w:t>（一）收入预算：</w:t>
      </w:r>
      <w:r>
        <w:rPr>
          <w:rFonts w:hint="eastAsia" w:ascii="方正仿宋_GBK" w:hAnsi="仿宋_GB2312" w:eastAsia="方正仿宋_GBK" w:cs="仿宋_GB2312"/>
          <w:sz w:val="32"/>
        </w:rPr>
        <w:t>2022年年初预算数1323.05万元，其中：一般公共预算拨款332.77万元，事业收入990.28万元。收入较2021年增加96.36万元，主要是单位事业收入预算多83.4万元。</w:t>
      </w:r>
    </w:p>
    <w:p>
      <w:pPr>
        <w:adjustRightInd w:val="0"/>
        <w:spacing w:line="600" w:lineRule="exact"/>
        <w:ind w:firstLine="640" w:firstLineChars="200"/>
        <w:rPr>
          <w:rFonts w:ascii="方正仿宋_GBK" w:hAnsi="仿宋_GB2312" w:eastAsia="方正仿宋_GBK" w:cs="仿宋_GB2312"/>
          <w:sz w:val="32"/>
        </w:rPr>
      </w:pPr>
      <w:r>
        <w:rPr>
          <w:rFonts w:hint="eastAsia" w:ascii="方正楷体_GBK" w:hAnsi="仿宋_GB2312" w:eastAsia="方正楷体_GBK" w:cs="仿宋_GB2312"/>
          <w:sz w:val="32"/>
        </w:rPr>
        <w:t>（二）支出预算</w:t>
      </w:r>
      <w:r>
        <w:rPr>
          <w:rFonts w:hint="eastAsia" w:ascii="方正仿宋_GBK" w:hAnsi="仿宋_GB2312" w:eastAsia="方正仿宋_GBK" w:cs="仿宋_GB2312"/>
          <w:sz w:val="32"/>
        </w:rPr>
        <w:t xml:space="preserve">：2022年年初预算数1323.05万元，其中：一般公共服务支出预算332.77万元，社会保障和就业支出预算112.02万元，卫生健康支出预算1181.47万元，住房保障支出预算29.56万元。支出预算较2021年增加96.36万元，主要是基本支出预算增加96.36万元。 </w:t>
      </w:r>
    </w:p>
    <w:p>
      <w:pPr>
        <w:adjustRightInd w:val="0"/>
        <w:spacing w:line="600" w:lineRule="exact"/>
        <w:ind w:firstLine="640" w:firstLineChars="200"/>
        <w:rPr>
          <w:rFonts w:ascii="方正黑体_GBK" w:hAnsi="黑体" w:eastAsia="方正黑体_GBK" w:cs="仿宋_GB2312"/>
          <w:sz w:val="32"/>
        </w:rPr>
      </w:pPr>
      <w:r>
        <w:rPr>
          <w:rFonts w:hint="eastAsia" w:ascii="方正黑体_GBK" w:hAnsi="黑体" w:eastAsia="方正黑体_GBK" w:cs="仿宋_GB2312"/>
          <w:sz w:val="32"/>
        </w:rPr>
        <w:t>三、部门预算情况说明</w:t>
      </w:r>
    </w:p>
    <w:p>
      <w:pPr>
        <w:adjustRightInd w:val="0"/>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2022年一般公共预算财政拨款收入332.77万元，一般公共预算财政拨款支出332.77万元，比2021年增加12.97万元。主要原因是保障在职人员工资福利及社会保险缴费，离休人员离休费，退休人员补助等。</w:t>
      </w:r>
    </w:p>
    <w:p>
      <w:pPr>
        <w:adjustRightInd w:val="0"/>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单位2022年无使用政府性基金预算拨款安排的支出。</w:t>
      </w:r>
    </w:p>
    <w:p>
      <w:pPr>
        <w:adjustRightInd w:val="0"/>
        <w:spacing w:line="600" w:lineRule="exact"/>
        <w:ind w:firstLine="640" w:firstLineChars="200"/>
        <w:rPr>
          <w:rFonts w:ascii="方正仿宋_GBK" w:hAnsi="黑体" w:eastAsia="方正仿宋_GBK" w:cs="仿宋_GB2312"/>
          <w:sz w:val="32"/>
        </w:rPr>
      </w:pPr>
      <w:r>
        <w:rPr>
          <w:rFonts w:hint="eastAsia" w:ascii="方正黑体_GBK" w:hAnsi="黑体" w:eastAsia="方正黑体_GBK" w:cs="仿宋_GB2312"/>
          <w:sz w:val="32"/>
        </w:rPr>
        <w:t>四、“三公”经费情况说明</w:t>
      </w:r>
    </w:p>
    <w:p>
      <w:pPr>
        <w:spacing w:line="600" w:lineRule="exact"/>
        <w:ind w:firstLine="600"/>
        <w:rPr>
          <w:rFonts w:hint="default" w:ascii="方正仿宋_GBK" w:hAnsi="仿宋_GB2312" w:eastAsia="方正仿宋_GBK" w:cs="仿宋_GB2312"/>
          <w:sz w:val="32"/>
          <w:lang w:val="en-US" w:eastAsia="zh-CN"/>
        </w:rPr>
      </w:pPr>
      <w:r>
        <w:rPr>
          <w:rFonts w:hint="eastAsia" w:ascii="方正仿宋_GBK" w:hAnsi="仿宋_GB2312" w:eastAsia="方正仿宋_GBK" w:cs="仿宋_GB2312"/>
          <w:sz w:val="32"/>
          <w:lang w:val="en-US" w:eastAsia="zh-CN"/>
        </w:rPr>
        <w:t>我单位属于差额拨款事业单位，财政未保障我单位“三公”经费，故2022年度无“三公”经费预算，</w:t>
      </w:r>
      <w:r>
        <w:rPr>
          <w:rFonts w:hint="eastAsia" w:ascii="方正仿宋_GBK" w:hAnsi="仿宋_GB2312" w:eastAsia="方正仿宋_GBK" w:cs="仿宋_GB2312"/>
          <w:sz w:val="32"/>
        </w:rPr>
        <w:t>其中：因公出国（境）费用0万元；公务接待费0万元；公务用车运行维护费</w:t>
      </w:r>
      <w:r>
        <w:rPr>
          <w:rFonts w:hint="eastAsia" w:ascii="方正仿宋_GBK" w:hAnsi="仿宋_GB2312" w:eastAsia="方正仿宋_GBK" w:cs="仿宋_GB2312"/>
          <w:sz w:val="32"/>
          <w:lang w:val="en-US" w:eastAsia="zh-CN"/>
        </w:rPr>
        <w:t>0</w:t>
      </w:r>
      <w:r>
        <w:rPr>
          <w:rFonts w:hint="eastAsia" w:ascii="方正仿宋_GBK" w:hAnsi="仿宋_GB2312" w:eastAsia="方正仿宋_GBK" w:cs="仿宋_GB2312"/>
          <w:sz w:val="32"/>
        </w:rPr>
        <w:t>万元，公务用车购置费0万元。</w:t>
      </w:r>
    </w:p>
    <w:p>
      <w:pPr>
        <w:adjustRightInd w:val="0"/>
        <w:spacing w:line="600" w:lineRule="exact"/>
        <w:ind w:firstLine="640" w:firstLineChars="200"/>
        <w:rPr>
          <w:rFonts w:hint="eastAsia" w:ascii="方正黑体_GBK" w:hAnsi="黑体" w:eastAsia="方正黑体_GBK" w:cs="仿宋_GB2312"/>
          <w:sz w:val="32"/>
        </w:rPr>
      </w:pPr>
      <w:r>
        <w:rPr>
          <w:rFonts w:hint="eastAsia" w:ascii="方正黑体_GBK" w:hAnsi="黑体" w:eastAsia="方正黑体_GBK" w:cs="仿宋_GB2312"/>
          <w:sz w:val="32"/>
        </w:rPr>
        <w:t>五、其他重要事项的情况说明</w:t>
      </w:r>
    </w:p>
    <w:p>
      <w:pPr>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1、机关运行经费</w:t>
      </w:r>
      <w:r>
        <w:rPr>
          <w:rFonts w:hint="eastAsia" w:ascii="方正仿宋_GBK" w:hAnsi="仿宋_GB2312" w:eastAsia="方正仿宋_GBK" w:cs="仿宋_GB2312"/>
          <w:sz w:val="32"/>
          <w:lang w:eastAsia="zh-CN"/>
        </w:rPr>
        <w:t>。</w:t>
      </w:r>
      <w:r>
        <w:rPr>
          <w:rFonts w:hint="eastAsia" w:ascii="方正仿宋_GBK" w:hAnsi="仿宋_GB2312" w:eastAsia="方正仿宋_GBK" w:cs="仿宋_GB2312"/>
          <w:sz w:val="32"/>
        </w:rPr>
        <w:t>我单位不在机关运行经费统计范围之内。</w:t>
      </w:r>
    </w:p>
    <w:p>
      <w:pPr>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 xml:space="preserve">2、政府采购情况。政府采购预算总额 </w:t>
      </w:r>
      <w:r>
        <w:rPr>
          <w:rFonts w:hint="eastAsia" w:ascii="方正仿宋_GBK" w:hAnsi="仿宋_GB2312" w:eastAsia="方正仿宋_GBK" w:cs="仿宋_GB2312"/>
          <w:sz w:val="32"/>
          <w:lang w:val="en-US" w:eastAsia="zh-CN"/>
        </w:rPr>
        <w:t>0</w:t>
      </w:r>
      <w:r>
        <w:rPr>
          <w:rFonts w:hint="eastAsia" w:ascii="方正仿宋_GBK" w:hAnsi="仿宋_GB2312" w:eastAsia="方正仿宋_GBK" w:cs="仿宋_GB2312"/>
          <w:sz w:val="32"/>
        </w:rPr>
        <w:t>万元：政府采购货物预算</w:t>
      </w:r>
      <w:r>
        <w:rPr>
          <w:rFonts w:hint="eastAsia" w:ascii="方正仿宋_GBK" w:hAnsi="仿宋_GB2312" w:eastAsia="方正仿宋_GBK" w:cs="仿宋_GB2312"/>
          <w:sz w:val="32"/>
          <w:lang w:val="en-US" w:eastAsia="zh-CN"/>
        </w:rPr>
        <w:t>0</w:t>
      </w:r>
      <w:r>
        <w:rPr>
          <w:rFonts w:hint="eastAsia" w:ascii="方正仿宋_GBK" w:hAnsi="仿宋_GB2312" w:eastAsia="方正仿宋_GBK" w:cs="仿宋_GB2312"/>
          <w:sz w:val="32"/>
        </w:rPr>
        <w:t>万元、政府采购工程预算</w:t>
      </w:r>
      <w:r>
        <w:rPr>
          <w:rFonts w:hint="eastAsia" w:ascii="方正仿宋_GBK" w:hAnsi="仿宋_GB2312" w:eastAsia="方正仿宋_GBK" w:cs="仿宋_GB2312"/>
          <w:sz w:val="32"/>
          <w:lang w:val="en-US" w:eastAsia="zh-CN"/>
        </w:rPr>
        <w:t>0</w:t>
      </w:r>
      <w:r>
        <w:rPr>
          <w:rFonts w:hint="eastAsia" w:ascii="方正仿宋_GBK" w:hAnsi="仿宋_GB2312" w:eastAsia="方正仿宋_GBK" w:cs="仿宋_GB2312"/>
          <w:sz w:val="32"/>
        </w:rPr>
        <w:t>万元、政府采购服务预算</w:t>
      </w:r>
      <w:r>
        <w:rPr>
          <w:rFonts w:hint="eastAsia" w:ascii="方正仿宋_GBK" w:hAnsi="仿宋_GB2312" w:eastAsia="方正仿宋_GBK" w:cs="仿宋_GB2312"/>
          <w:sz w:val="32"/>
          <w:lang w:val="en-US" w:eastAsia="zh-CN"/>
        </w:rPr>
        <w:t>0</w:t>
      </w:r>
      <w:r>
        <w:rPr>
          <w:rFonts w:hint="eastAsia" w:ascii="方正仿宋_GBK" w:hAnsi="仿宋_GB2312" w:eastAsia="方正仿宋_GBK" w:cs="仿宋_GB2312"/>
          <w:sz w:val="32"/>
        </w:rPr>
        <w:t>万元；其中一般公共预算拨款政府采购</w:t>
      </w:r>
      <w:r>
        <w:rPr>
          <w:rFonts w:hint="eastAsia" w:ascii="方正仿宋_GBK" w:hAnsi="仿宋_GB2312" w:eastAsia="方正仿宋_GBK" w:cs="仿宋_GB2312"/>
          <w:sz w:val="32"/>
          <w:lang w:val="en-US" w:eastAsia="zh-CN"/>
        </w:rPr>
        <w:t>0</w:t>
      </w:r>
      <w:r>
        <w:rPr>
          <w:rFonts w:hint="eastAsia" w:ascii="方正仿宋_GBK" w:hAnsi="仿宋_GB2312" w:eastAsia="方正仿宋_GBK" w:cs="仿宋_GB2312"/>
          <w:sz w:val="32"/>
        </w:rPr>
        <w:t xml:space="preserve">万元：政府采购货物预算 </w:t>
      </w:r>
      <w:r>
        <w:rPr>
          <w:rFonts w:hint="eastAsia" w:ascii="方正仿宋_GBK" w:hAnsi="仿宋_GB2312" w:eastAsia="方正仿宋_GBK" w:cs="仿宋_GB2312"/>
          <w:sz w:val="32"/>
          <w:lang w:val="en-US" w:eastAsia="zh-CN"/>
        </w:rPr>
        <w:t>0</w:t>
      </w:r>
      <w:r>
        <w:rPr>
          <w:rFonts w:hint="eastAsia" w:ascii="方正仿宋_GBK" w:hAnsi="仿宋_GB2312" w:eastAsia="方正仿宋_GBK" w:cs="仿宋_GB2312"/>
          <w:sz w:val="32"/>
        </w:rPr>
        <w:t xml:space="preserve">万元、政府采购工程预算 </w:t>
      </w:r>
      <w:r>
        <w:rPr>
          <w:rFonts w:hint="eastAsia" w:ascii="方正仿宋_GBK" w:hAnsi="仿宋_GB2312" w:eastAsia="方正仿宋_GBK" w:cs="仿宋_GB2312"/>
          <w:sz w:val="32"/>
          <w:lang w:val="en-US" w:eastAsia="zh-CN"/>
        </w:rPr>
        <w:t>0</w:t>
      </w:r>
      <w:r>
        <w:rPr>
          <w:rFonts w:hint="eastAsia" w:ascii="方正仿宋_GBK" w:hAnsi="仿宋_GB2312" w:eastAsia="方正仿宋_GBK" w:cs="仿宋_GB2312"/>
          <w:sz w:val="32"/>
        </w:rPr>
        <w:t>万元、政府采购服务预算</w:t>
      </w:r>
      <w:r>
        <w:rPr>
          <w:rFonts w:hint="eastAsia" w:ascii="方正仿宋_GBK" w:hAnsi="仿宋_GB2312" w:eastAsia="方正仿宋_GBK" w:cs="仿宋_GB2312"/>
          <w:sz w:val="32"/>
          <w:lang w:val="en-US" w:eastAsia="zh-CN"/>
        </w:rPr>
        <w:t>0</w:t>
      </w:r>
      <w:r>
        <w:rPr>
          <w:rFonts w:hint="eastAsia" w:ascii="方正仿宋_GBK" w:hAnsi="仿宋_GB2312" w:eastAsia="方正仿宋_GBK" w:cs="仿宋_GB2312"/>
          <w:sz w:val="32"/>
        </w:rPr>
        <w:t>万元。</w:t>
      </w:r>
    </w:p>
    <w:p>
      <w:pPr>
        <w:ind w:firstLine="640" w:firstLineChars="200"/>
        <w:rPr>
          <w:rFonts w:ascii="方正仿宋_GBK" w:hAnsi="仿宋_GB2312" w:eastAsia="方正仿宋_GBK" w:cs="仿宋_GB2312"/>
          <w:color w:val="000000"/>
          <w:sz w:val="32"/>
        </w:rPr>
      </w:pPr>
      <w:r>
        <w:rPr>
          <w:rFonts w:hint="eastAsia" w:ascii="方正仿宋_GBK" w:hAnsi="仿宋_GB2312" w:eastAsia="方正仿宋_GBK" w:cs="仿宋_GB2312"/>
          <w:sz w:val="32"/>
        </w:rPr>
        <w:t>3、绩效目标设置情况。</w:t>
      </w:r>
      <w:r>
        <w:rPr>
          <w:rFonts w:hint="eastAsia" w:ascii="方正仿宋_GBK" w:hAnsi="仿宋_GB2312" w:eastAsia="方正仿宋_GBK" w:cs="仿宋_GB2312"/>
          <w:color w:val="000000"/>
          <w:sz w:val="32"/>
        </w:rPr>
        <w:t>2022年无项目支出未实行绩效目标管理设置。</w:t>
      </w:r>
      <w:bookmarkStart w:id="0" w:name="_GoBack"/>
      <w:bookmarkEnd w:id="0"/>
    </w:p>
    <w:p>
      <w:pPr>
        <w:adjustRightInd w:val="0"/>
        <w:ind w:firstLine="640" w:firstLineChars="200"/>
        <w:rPr>
          <w:rFonts w:ascii="方正仿宋_GBK" w:hAnsi="仿宋_GB2312" w:eastAsia="方正仿宋_GBK" w:cs="仿宋_GB2312"/>
          <w:color w:val="000000"/>
          <w:sz w:val="32"/>
        </w:rPr>
      </w:pPr>
      <w:r>
        <w:rPr>
          <w:rFonts w:hint="eastAsia" w:ascii="方正仿宋_GBK" w:hAnsi="仿宋_GB2312" w:eastAsia="方正仿宋_GBK" w:cs="仿宋_GB2312"/>
          <w:color w:val="000000"/>
          <w:sz w:val="32"/>
          <w:lang w:val="en-US" w:eastAsia="zh-CN"/>
        </w:rPr>
        <w:t>4</w:t>
      </w:r>
      <w:r>
        <w:rPr>
          <w:rFonts w:hint="eastAsia" w:ascii="方正仿宋_GBK" w:hAnsi="仿宋_GB2312" w:eastAsia="方正仿宋_GBK" w:cs="仿宋_GB2312"/>
          <w:color w:val="000000"/>
          <w:sz w:val="32"/>
        </w:rPr>
        <w:t>、国有资产占有使用情况。截至2021年12月，我单位共有车辆 1辆，是专门用于急救病人的特种车辆。其中一般公务用车0 辆、120专用车 1辆。2022年一般公共预算安排购置车辆 0辆，其中一般公务用车0 辆、执勤执法用车 0辆。</w:t>
      </w:r>
    </w:p>
    <w:p>
      <w:pPr>
        <w:tabs>
          <w:tab w:val="center" w:pos="4153"/>
          <w:tab w:val="left" w:pos="7275"/>
        </w:tabs>
        <w:adjustRightInd w:val="0"/>
        <w:spacing w:line="600" w:lineRule="exact"/>
        <w:ind w:firstLine="640" w:firstLineChars="200"/>
        <w:jc w:val="left"/>
        <w:rPr>
          <w:rFonts w:ascii="方正仿宋_GBK" w:hAnsi="Calibri" w:eastAsia="方正仿宋_GBK" w:cs="Times New Roman"/>
          <w:sz w:val="32"/>
          <w:szCs w:val="32"/>
        </w:rPr>
      </w:pPr>
      <w:r>
        <w:rPr>
          <w:rFonts w:hint="eastAsia" w:ascii="方正黑体_GBK" w:hAnsi="黑体" w:eastAsia="方正黑体_GBK" w:cs="仿宋_GB2312"/>
          <w:sz w:val="32"/>
        </w:rPr>
        <w:t>六、专业性名词解释</w:t>
      </w:r>
    </w:p>
    <w:p>
      <w:pPr>
        <w:tabs>
          <w:tab w:val="center" w:pos="4153"/>
          <w:tab w:val="left" w:pos="7275"/>
        </w:tabs>
        <w:adjustRightInd w:val="0"/>
        <w:spacing w:line="600" w:lineRule="exact"/>
        <w:ind w:firstLine="640" w:firstLineChars="200"/>
        <w:jc w:val="left"/>
        <w:rPr>
          <w:rFonts w:ascii="方正仿宋_GBK" w:hAnsi="Calibri" w:eastAsia="方正仿宋_GBK" w:cs="Times New Roman"/>
          <w:sz w:val="32"/>
          <w:szCs w:val="32"/>
        </w:rPr>
      </w:pPr>
      <w:r>
        <w:rPr>
          <w:rFonts w:hint="eastAsia" w:ascii="方正楷体_GBK" w:hAnsi="Calibri" w:eastAsia="方正楷体_GBK" w:cs="Times New Roman"/>
          <w:sz w:val="32"/>
          <w:szCs w:val="32"/>
        </w:rPr>
        <w:t>（一）财政拨款收入：</w:t>
      </w:r>
      <w:r>
        <w:rPr>
          <w:rFonts w:hint="eastAsia" w:ascii="方正仿宋_GBK" w:hAnsi="Calibri" w:eastAsia="方正仿宋_GBK" w:cs="Times New Roman"/>
          <w:sz w:val="32"/>
          <w:szCs w:val="32"/>
        </w:rPr>
        <w:t>指本年度从本级财政部门取得的财政拨款，包括一般公共预算财政拨款和政府性基金预算财政拨款。</w:t>
      </w:r>
    </w:p>
    <w:p>
      <w:pPr>
        <w:tabs>
          <w:tab w:val="center" w:pos="4153"/>
          <w:tab w:val="left" w:pos="7275"/>
        </w:tabs>
        <w:adjustRightInd w:val="0"/>
        <w:spacing w:line="600" w:lineRule="exact"/>
        <w:ind w:firstLine="640" w:firstLineChars="200"/>
        <w:jc w:val="left"/>
        <w:rPr>
          <w:rFonts w:ascii="方正仿宋_GBK" w:hAnsi="Calibri" w:eastAsia="方正仿宋_GBK" w:cs="Times New Roman"/>
          <w:sz w:val="32"/>
          <w:szCs w:val="32"/>
        </w:rPr>
      </w:pPr>
      <w:r>
        <w:rPr>
          <w:rFonts w:hint="eastAsia" w:ascii="方正楷体_GBK" w:hAnsi="Calibri" w:eastAsia="方正楷体_GBK" w:cs="Times New Roman"/>
          <w:sz w:val="32"/>
          <w:szCs w:val="32"/>
        </w:rPr>
        <w:t>（二）其他收入：</w:t>
      </w:r>
      <w:r>
        <w:rPr>
          <w:rFonts w:hint="eastAsia" w:ascii="方正仿宋_GBK" w:hAnsi="Calibri" w:eastAsia="方正仿宋_GBK" w:cs="Times New Roman"/>
          <w:sz w:val="32"/>
          <w:szCs w:val="32"/>
        </w:rPr>
        <w:t>指单位取得的除“财政拨款收入”“事业收入”“经营收入”等以外的收入。</w:t>
      </w:r>
    </w:p>
    <w:p>
      <w:pPr>
        <w:tabs>
          <w:tab w:val="center" w:pos="4153"/>
          <w:tab w:val="left" w:pos="7275"/>
        </w:tabs>
        <w:adjustRightInd w:val="0"/>
        <w:spacing w:line="600" w:lineRule="exact"/>
        <w:ind w:firstLine="640" w:firstLineChars="200"/>
        <w:jc w:val="left"/>
        <w:rPr>
          <w:rFonts w:ascii="方正仿宋_GBK" w:hAnsi="Calibri" w:eastAsia="方正仿宋_GBK" w:cs="Times New Roman"/>
          <w:sz w:val="32"/>
          <w:szCs w:val="32"/>
        </w:rPr>
      </w:pPr>
      <w:r>
        <w:rPr>
          <w:rFonts w:hint="eastAsia" w:ascii="方正楷体_GBK" w:hAnsi="Calibri" w:eastAsia="方正楷体_GBK" w:cs="Times New Roman"/>
          <w:sz w:val="32"/>
          <w:szCs w:val="32"/>
        </w:rPr>
        <w:t>（三）基本支出：</w:t>
      </w:r>
      <w:r>
        <w:rPr>
          <w:rFonts w:hint="eastAsia" w:ascii="方正仿宋_GBK" w:hAnsi="Calibri" w:eastAsia="方正仿宋_GBK" w:cs="Times New Roman"/>
          <w:sz w:val="32"/>
          <w:szCs w:val="32"/>
        </w:rPr>
        <w:t>指为保障机构正常运转、完成日常工作任务而发生的人员经费和公用经费。</w:t>
      </w:r>
    </w:p>
    <w:p>
      <w:pPr>
        <w:tabs>
          <w:tab w:val="center" w:pos="4153"/>
          <w:tab w:val="left" w:pos="7275"/>
        </w:tabs>
        <w:adjustRightInd w:val="0"/>
        <w:spacing w:line="600" w:lineRule="exact"/>
        <w:ind w:firstLine="640" w:firstLineChars="200"/>
        <w:jc w:val="left"/>
        <w:rPr>
          <w:rFonts w:ascii="方正仿宋_GBK" w:hAnsi="Calibri" w:eastAsia="方正仿宋_GBK" w:cs="Times New Roman"/>
          <w:sz w:val="32"/>
          <w:szCs w:val="32"/>
        </w:rPr>
      </w:pPr>
      <w:r>
        <w:rPr>
          <w:rFonts w:hint="eastAsia" w:ascii="方正楷体_GBK" w:hAnsi="Calibri" w:eastAsia="方正楷体_GBK" w:cs="Times New Roman"/>
          <w:sz w:val="32"/>
          <w:szCs w:val="32"/>
        </w:rPr>
        <w:t>（四）项目支出：</w:t>
      </w:r>
      <w:r>
        <w:rPr>
          <w:rFonts w:hint="eastAsia" w:ascii="方正仿宋_GBK" w:hAnsi="Calibri" w:eastAsia="方正仿宋_GBK" w:cs="Times New Roman"/>
          <w:sz w:val="32"/>
          <w:szCs w:val="32"/>
        </w:rPr>
        <w:t>指在基本支出之外为完成特定行政任务和事业发展目标所发生的支出。</w:t>
      </w:r>
    </w:p>
    <w:p>
      <w:pPr>
        <w:adjustRightInd w:val="0"/>
        <w:ind w:firstLine="640" w:firstLineChars="200"/>
        <w:rPr>
          <w:rFonts w:ascii="方正仿宋_GBK" w:hAnsi="仿宋_GB2312" w:eastAsia="方正仿宋_GBK" w:cs="仿宋_GB2312"/>
          <w:color w:val="000000"/>
          <w:sz w:val="32"/>
        </w:rPr>
      </w:pPr>
      <w:r>
        <w:rPr>
          <w:rFonts w:hint="eastAsia" w:ascii="方正楷体_GBK" w:hAnsi="Calibri" w:eastAsia="方正楷体_GBK" w:cs="Times New Roman"/>
          <w:sz w:val="32"/>
          <w:szCs w:val="32"/>
        </w:rPr>
        <w:t>（五）“三公”经费：</w:t>
      </w:r>
      <w:r>
        <w:rPr>
          <w:rFonts w:hint="eastAsia" w:ascii="方正仿宋_GBK" w:hAnsi="Calibri" w:eastAsia="方正仿宋_GBK" w:cs="Times New Roman"/>
          <w:sz w:val="32"/>
          <w:szCs w:val="32"/>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adjustRightInd w:val="0"/>
        <w:rPr>
          <w:rFonts w:ascii="方正仿宋_GBK" w:hAnsi="仿宋_GB2312" w:eastAsia="方正仿宋_GBK" w:cs="仿宋_GB2312"/>
          <w:b/>
          <w:sz w:val="32"/>
        </w:rPr>
      </w:pPr>
    </w:p>
    <w:p>
      <w:pPr>
        <w:adjustRightInd w:val="0"/>
        <w:rPr>
          <w:rFonts w:ascii="仿宋_GB2312" w:hAnsi="仿宋_GB2312" w:eastAsia="仿宋_GB2312" w:cs="仿宋_GB2312"/>
          <w:b/>
          <w:sz w:val="32"/>
        </w:rPr>
      </w:pPr>
      <w:r>
        <w:rPr>
          <w:rFonts w:hint="eastAsia" w:ascii="方正仿宋_GBK" w:hAnsi="仿宋_GB2312" w:eastAsia="方正仿宋_GBK" w:cs="仿宋_GB2312"/>
          <w:b/>
          <w:sz w:val="32"/>
        </w:rPr>
        <w:t>部门预算公开联系人：</w:t>
      </w:r>
      <w:r>
        <w:rPr>
          <w:rFonts w:hint="eastAsia" w:ascii="方正仿宋_GBK" w:hAnsi="Calibri" w:eastAsia="方正仿宋_GBK" w:cs="Times New Roman"/>
          <w:b/>
          <w:sz w:val="32"/>
        </w:rPr>
        <w:t>张勇灵</w:t>
      </w:r>
      <w:r>
        <w:rPr>
          <w:rFonts w:hint="eastAsia" w:ascii="方正仿宋_GBK" w:hAnsi="仿宋_GB2312" w:eastAsia="方正仿宋_GBK" w:cs="仿宋_GB2312"/>
          <w:b/>
          <w:sz w:val="32"/>
        </w:rPr>
        <w:t xml:space="preserve">  　联系方式：　</w:t>
      </w:r>
      <w:r>
        <w:rPr>
          <w:rFonts w:hint="eastAsia" w:ascii="方正仿宋_GBK" w:hAnsi="Calibri" w:eastAsia="方正仿宋_GBK" w:cs="Times New Roman"/>
          <w:b/>
          <w:sz w:val="32"/>
        </w:rPr>
        <w:t>15978957566</w:t>
      </w:r>
    </w:p>
    <w:p>
      <w:pPr>
        <w:adjustRightInd w:val="0"/>
        <w:ind w:firstLine="420" w:firstLineChars="200"/>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黑体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20E4D"/>
    <w:rsid w:val="00047450"/>
    <w:rsid w:val="001841A9"/>
    <w:rsid w:val="00320E4D"/>
    <w:rsid w:val="006266B5"/>
    <w:rsid w:val="006F76BA"/>
    <w:rsid w:val="008919E8"/>
    <w:rsid w:val="02522927"/>
    <w:rsid w:val="16756856"/>
    <w:rsid w:val="3C6C7F88"/>
    <w:rsid w:val="40A83505"/>
    <w:rsid w:val="4E684A8B"/>
    <w:rsid w:val="6BC9145D"/>
    <w:rsid w:val="7AD25814"/>
    <w:rsid w:val="7C326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next w:val="3"/>
    <w:qFormat/>
    <w:uiPriority w:val="99"/>
    <w:pPr>
      <w:tabs>
        <w:tab w:val="center" w:pos="4153"/>
        <w:tab w:val="right" w:pos="8306"/>
      </w:tabs>
      <w:snapToGrid w:val="0"/>
      <w:jc w:val="left"/>
    </w:pPr>
    <w:rPr>
      <w:sz w:val="18"/>
      <w:szCs w:val="18"/>
    </w:rPr>
  </w:style>
  <w:style w:type="paragraph" w:customStyle="1" w:styleId="3">
    <w:name w:val="索引 51"/>
    <w:basedOn w:val="1"/>
    <w:next w:val="1"/>
    <w:qFormat/>
    <w:uiPriority w:val="0"/>
    <w:pPr>
      <w:ind w:left="1680"/>
    </w:pPr>
  </w:style>
  <w:style w:type="paragraph" w:customStyle="1" w:styleId="6">
    <w:name w:val="p0"/>
    <w:basedOn w:val="1"/>
    <w:qFormat/>
    <w:uiPriority w:val="0"/>
    <w:pPr>
      <w:widowControl/>
      <w:jc w:val="left"/>
    </w:pPr>
    <w:rPr>
      <w:rFonts w:ascii="Times New Roman" w:hAnsi="Times New Roman" w:eastAsia="宋体" w:cs="Times New Roman"/>
      <w:kern w:val="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Pages>
  <Words>226</Words>
  <Characters>1293</Characters>
  <Lines>10</Lines>
  <Paragraphs>3</Paragraphs>
  <TotalTime>0</TotalTime>
  <ScaleCrop>false</ScaleCrop>
  <LinksUpToDate>false</LinksUpToDate>
  <CharactersWithSpaces>1516</CharactersWithSpaces>
  <Application>WPS Office_10.8.2.7072_F1E327BC-269C-435d-A152-05C5408002CA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2022-02-10T08:14:00Z</dcterms:created>
  <dc:creator>Microsoft</dc:creator>
  <cp:lastModifiedBy>Administrator</cp:lastModifiedBy>
  <cp:lastPrinted>2022-02-10T08:18:00Z</cp:lastPrinted>
  <dcterms:modified xsi:type="dcterms:W3CDTF">2023-09-21T02:08:21Z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2052-10.8.2.7072</vt:lpwstr>
  </property>
</Properties>
</file>