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方正仿宋_GBK" w:hAnsi="华文中宋" w:eastAsia="方正仿宋_GBK" w:cs="华文中宋"/>
          <w:b/>
          <w:sz w:val="32"/>
          <w:szCs w:val="32"/>
        </w:rPr>
      </w:pPr>
    </w:p>
    <w:p>
      <w:pPr>
        <w:spacing w:line="600" w:lineRule="exact"/>
        <w:jc w:val="center"/>
        <w:rPr>
          <w:rFonts w:ascii="方正小标宋_GBK" w:hAnsi="华文中宋" w:eastAsia="方正小标宋_GBK" w:cs="华文中宋"/>
          <w:sz w:val="44"/>
          <w:szCs w:val="44"/>
        </w:rPr>
      </w:pPr>
      <w:r>
        <w:rPr>
          <w:rFonts w:hint="eastAsia" w:ascii="方正小标宋_GBK" w:hAnsi="华文中宋" w:eastAsia="方正小标宋_GBK" w:cs="华文中宋"/>
          <w:sz w:val="44"/>
          <w:szCs w:val="44"/>
        </w:rPr>
        <w:t>重庆市开州区临江镇中心卫生院</w:t>
      </w:r>
    </w:p>
    <w:p>
      <w:pPr>
        <w:spacing w:line="600" w:lineRule="exact"/>
        <w:jc w:val="center"/>
        <w:rPr>
          <w:rFonts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2022年部门预算情况说明</w:t>
      </w:r>
    </w:p>
    <w:p>
      <w:pPr>
        <w:spacing w:line="600" w:lineRule="exact"/>
        <w:ind w:firstLine="880" w:firstLineChars="200"/>
        <w:jc w:val="center"/>
        <w:rPr>
          <w:rFonts w:ascii="华文中宋" w:hAnsi="华文中宋" w:eastAsia="华文中宋" w:cs="华文中宋"/>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left="640"/>
        <w:textAlignment w:val="auto"/>
        <w:outlineLvl w:val="9"/>
        <w:rPr>
          <w:rFonts w:ascii="方正黑体_GBK" w:hAnsi="黑体" w:eastAsia="方正黑体_GBK" w:cs="仿宋_GB2312"/>
          <w:sz w:val="32"/>
        </w:rPr>
      </w:pPr>
      <w:r>
        <w:rPr>
          <w:rFonts w:hint="eastAsia" w:ascii="方正黑体_GBK" w:hAnsi="黑体" w:eastAsia="方正黑体_GBK" w:cs="仿宋_GB2312"/>
          <w:sz w:val="32"/>
        </w:rPr>
        <w:t>一、单位基本情况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方正楷体_GBK" w:hAnsi="方正楷体_GBK" w:eastAsia="方正楷体_GBK" w:cs="方正楷体_GBK"/>
          <w:sz w:val="32"/>
        </w:rPr>
      </w:pPr>
      <w:r>
        <w:rPr>
          <w:rFonts w:hint="eastAsia" w:ascii="方正楷体_GBK" w:hAnsi="方正楷体_GBK" w:eastAsia="方正楷体_GBK" w:cs="方正楷体_GBK"/>
          <w:sz w:val="32"/>
        </w:rPr>
        <w:t>（一）职能职责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方正仿宋_GBK" w:hAnsi="方正仿宋_GBK" w:eastAsia="方正仿宋_GBK" w:cs="方正仿宋_GBK"/>
          <w:b/>
          <w:bCs/>
          <w:sz w:val="32"/>
          <w:szCs w:val="32"/>
          <w:shd w:val="clear" w:color="auto" w:fill="FFFFFF"/>
        </w:rPr>
      </w:pPr>
      <w:r>
        <w:rPr>
          <w:rFonts w:hint="eastAsia" w:ascii="方正仿宋_GBK" w:hAnsi="方正仿宋_GBK" w:eastAsia="方正仿宋_GBK" w:cs="方正仿宋_GBK"/>
          <w:sz w:val="32"/>
          <w:szCs w:val="32"/>
        </w:rPr>
        <w:t xml:space="preserve">我院是一所集医疗、科研、预防保健、健康管理为一体的一级甲等综合医院，主要为当地城乡居民提供基本医疗和健康档案管理、预防接种、健康教育、孕产妇健康管理、儿童健康管理、65岁以上老年人健康管理、慢病管理、结核病防治、严重精神障碍患者管理、卫生健康协管、计划生育技术指导、家庭医生签约等公共卫生服务，并承担辖区及周边乡镇的现场急救和转诊服务等工作的职能部门。 </w:t>
      </w:r>
    </w:p>
    <w:p>
      <w:pPr>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left="640"/>
        <w:jc w:val="left"/>
        <w:textAlignment w:val="auto"/>
        <w:outlineLvl w:val="9"/>
        <w:rPr>
          <w:rFonts w:hint="eastAsia" w:ascii="方正楷体_GBK" w:hAnsi="方正楷体_GBK" w:eastAsia="方正楷体_GBK" w:cs="方正楷体_GBK"/>
          <w:sz w:val="32"/>
          <w:szCs w:val="22"/>
        </w:rPr>
      </w:pPr>
      <w:r>
        <w:rPr>
          <w:rFonts w:hint="eastAsia" w:ascii="方正楷体_GBK" w:hAnsi="方正楷体_GBK" w:eastAsia="方正楷体_GBK" w:cs="方正楷体_GBK"/>
          <w:sz w:val="32"/>
          <w:szCs w:val="22"/>
        </w:rPr>
        <w:t>（二）单位构成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开设预防保健科、内科、外科、妇产科、中医科、急诊科、放射科、检验科、超声科、心脑电图室等科室。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pPr>
      <w:r>
        <w:rPr>
          <w:rFonts w:hint="eastAsia" w:ascii="方正仿宋_GBK" w:hAnsi="方正仿宋_GBK" w:eastAsia="方正仿宋_GBK" w:cs="方正仿宋_GBK"/>
          <w:sz w:val="32"/>
          <w:szCs w:val="32"/>
        </w:rPr>
        <w:t>从预算单位构成看，我单位为重庆市开州区卫生健康委员会下属二级预算单位。</w:t>
      </w:r>
    </w:p>
    <w:p>
      <w:pPr>
        <w:keepNext w:val="0"/>
        <w:keepLines w:val="0"/>
        <w:pageBreakBefore w:val="0"/>
        <w:widowControl w:val="0"/>
        <w:kinsoku/>
        <w:wordWrap/>
        <w:overflowPunct/>
        <w:topLinePunct w:val="0"/>
        <w:autoSpaceDE/>
        <w:autoSpaceDN/>
        <w:bidi w:val="0"/>
        <w:adjustRightInd/>
        <w:snapToGrid/>
        <w:spacing w:line="600" w:lineRule="exact"/>
        <w:ind w:left="640"/>
        <w:textAlignment w:val="auto"/>
        <w:outlineLvl w:val="9"/>
        <w:rPr>
          <w:rFonts w:ascii="方正仿宋_GBK" w:hAnsi="黑体" w:eastAsia="方正仿宋_GBK" w:cs="仿宋_GB2312"/>
          <w:sz w:val="32"/>
        </w:rPr>
      </w:pPr>
      <w:r>
        <w:rPr>
          <w:rFonts w:hint="eastAsia" w:ascii="方正黑体_GBK" w:hAnsi="黑体" w:eastAsia="方正黑体_GBK" w:cs="仿宋_GB2312"/>
          <w:sz w:val="32"/>
        </w:rPr>
        <w:t>二、部门收支总体情况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方正仿宋_GBK" w:hAnsi="仿宋_GB2312" w:eastAsia="方正仿宋_GBK" w:cs="仿宋_GB2312"/>
          <w:sz w:val="32"/>
        </w:rPr>
      </w:pPr>
      <w:r>
        <w:rPr>
          <w:rFonts w:hint="eastAsia" w:ascii="方正仿宋_GBK" w:hAnsi="仿宋_GB2312" w:eastAsia="方正仿宋_GBK" w:cs="仿宋_GB2312"/>
          <w:sz w:val="32"/>
        </w:rPr>
        <w:t>（一）收入预算：2022年年初预算数</w:t>
      </w:r>
      <w:r>
        <w:rPr>
          <w:rFonts w:ascii="方正仿宋_GBK" w:hAnsi="仿宋_GB2312" w:eastAsia="方正仿宋_GBK" w:cs="仿宋_GB2312"/>
          <w:sz w:val="32"/>
        </w:rPr>
        <w:t>5494.61</w:t>
      </w:r>
      <w:r>
        <w:rPr>
          <w:rFonts w:hint="eastAsia" w:ascii="方正仿宋_GBK" w:hAnsi="仿宋_GB2312" w:eastAsia="方正仿宋_GBK" w:cs="仿宋_GB2312"/>
          <w:sz w:val="32"/>
        </w:rPr>
        <w:t>万元，其中：一般公共预算拨款</w:t>
      </w:r>
      <w:r>
        <w:rPr>
          <w:rFonts w:ascii="方正仿宋_GBK" w:hAnsi="仿宋_GB2312" w:eastAsia="方正仿宋_GBK" w:cs="仿宋_GB2312"/>
          <w:sz w:val="32"/>
        </w:rPr>
        <w:t>1494.61</w:t>
      </w:r>
      <w:r>
        <w:rPr>
          <w:rFonts w:hint="eastAsia" w:ascii="方正仿宋_GBK" w:hAnsi="仿宋_GB2312" w:eastAsia="方正仿宋_GBK" w:cs="仿宋_GB2312"/>
          <w:sz w:val="32"/>
        </w:rPr>
        <w:t>万元，政府性基金预算拨款0万元，国有资本经营预算收入0万元，事业收入</w:t>
      </w:r>
      <w:r>
        <w:rPr>
          <w:rFonts w:ascii="方正仿宋_GBK" w:hAnsi="仿宋_GB2312" w:eastAsia="方正仿宋_GBK" w:cs="仿宋_GB2312"/>
          <w:sz w:val="32"/>
        </w:rPr>
        <w:t>4000</w:t>
      </w:r>
      <w:r>
        <w:rPr>
          <w:rFonts w:hint="eastAsia" w:ascii="方正仿宋_GBK" w:hAnsi="仿宋_GB2312" w:eastAsia="方正仿宋_GBK" w:cs="仿宋_GB2312"/>
          <w:sz w:val="32"/>
        </w:rPr>
        <w:t>万元，事业单位经营收入0万元，其他收入0万元。收入较2021年增加391.92万元，事业收入增加300万元，一般公共预算拨款增加91.92万元。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方正仿宋_GBK" w:hAnsi="仿宋_GB2312" w:eastAsia="方正仿宋_GBK" w:cs="仿宋_GB2312"/>
          <w:sz w:val="32"/>
        </w:rPr>
      </w:pPr>
      <w:r>
        <w:rPr>
          <w:rFonts w:hint="eastAsia" w:ascii="方正仿宋_GBK" w:hAnsi="仿宋_GB2312" w:eastAsia="方正仿宋_GBK" w:cs="仿宋_GB2312"/>
          <w:sz w:val="32"/>
        </w:rPr>
        <w:t>（二）支出预算：2022年年初预算数</w:t>
      </w:r>
      <w:r>
        <w:rPr>
          <w:rFonts w:ascii="方正仿宋_GBK" w:hAnsi="仿宋_GB2312" w:eastAsia="方正仿宋_GBK" w:cs="仿宋_GB2312"/>
          <w:sz w:val="32"/>
        </w:rPr>
        <w:t>5405.54</w:t>
      </w:r>
      <w:r>
        <w:rPr>
          <w:rFonts w:hint="eastAsia" w:ascii="方正仿宋_GBK" w:hAnsi="仿宋_GB2312" w:eastAsia="方正仿宋_GBK" w:cs="仿宋_GB2312"/>
          <w:sz w:val="32"/>
        </w:rPr>
        <w:t>万元，其中：一般公共服务支出预算0万元，教育支出预算0万元，社会保障和就业支出预算</w:t>
      </w:r>
      <w:r>
        <w:rPr>
          <w:rFonts w:ascii="方正仿宋_GBK" w:hAnsi="仿宋_GB2312" w:eastAsia="方正仿宋_GBK" w:cs="仿宋_GB2312"/>
          <w:sz w:val="32"/>
        </w:rPr>
        <w:t>481.53</w:t>
      </w:r>
      <w:r>
        <w:rPr>
          <w:rFonts w:hint="eastAsia" w:ascii="方正仿宋_GBK" w:hAnsi="仿宋_GB2312" w:eastAsia="方正仿宋_GBK" w:cs="仿宋_GB2312"/>
          <w:sz w:val="32"/>
        </w:rPr>
        <w:t>万元，卫生健康支出预算</w:t>
      </w:r>
      <w:r>
        <w:rPr>
          <w:rFonts w:ascii="方正仿宋_GBK" w:hAnsi="仿宋_GB2312" w:eastAsia="方正仿宋_GBK" w:cs="仿宋_GB2312"/>
          <w:sz w:val="32"/>
        </w:rPr>
        <w:t>4795.54</w:t>
      </w:r>
      <w:r>
        <w:rPr>
          <w:rFonts w:hint="eastAsia" w:ascii="方正仿宋_GBK" w:hAnsi="仿宋_GB2312" w:eastAsia="方正仿宋_GBK" w:cs="仿宋_GB2312"/>
          <w:sz w:val="32"/>
        </w:rPr>
        <w:t>万元，住房保障支出预算</w:t>
      </w:r>
      <w:r>
        <w:rPr>
          <w:rFonts w:ascii="方正仿宋_GBK" w:hAnsi="仿宋_GB2312" w:eastAsia="方正仿宋_GBK" w:cs="仿宋_GB2312"/>
          <w:sz w:val="32"/>
        </w:rPr>
        <w:t>128.47</w:t>
      </w:r>
      <w:r>
        <w:rPr>
          <w:rFonts w:hint="eastAsia" w:ascii="方正仿宋_GBK" w:hAnsi="仿宋_GB2312" w:eastAsia="方正仿宋_GBK" w:cs="仿宋_GB2312"/>
          <w:sz w:val="32"/>
        </w:rPr>
        <w:t>万元。支出预算较2021年增加336.36万元，主要是基本支出预算增加335.94万元，项目支出预算增加0.42万元。</w:t>
      </w:r>
    </w:p>
    <w:p>
      <w:pPr>
        <w:keepNext w:val="0"/>
        <w:keepLines w:val="0"/>
        <w:pageBreakBefore w:val="0"/>
        <w:widowControl w:val="0"/>
        <w:kinsoku/>
        <w:wordWrap/>
        <w:overflowPunct/>
        <w:topLinePunct w:val="0"/>
        <w:autoSpaceDE/>
        <w:autoSpaceDN/>
        <w:bidi w:val="0"/>
        <w:adjustRightInd/>
        <w:snapToGrid/>
        <w:spacing w:line="600" w:lineRule="exact"/>
        <w:ind w:left="640"/>
        <w:textAlignment w:val="auto"/>
        <w:outlineLvl w:val="9"/>
        <w:rPr>
          <w:rFonts w:ascii="方正黑体_GBK" w:hAnsi="黑体" w:eastAsia="方正黑体_GBK" w:cs="仿宋_GB2312"/>
          <w:sz w:val="32"/>
        </w:rPr>
      </w:pPr>
      <w:r>
        <w:rPr>
          <w:rFonts w:hint="eastAsia" w:ascii="方正黑体_GBK" w:hAnsi="黑体" w:eastAsia="方正黑体_GBK" w:cs="仿宋_GB2312"/>
          <w:sz w:val="32"/>
        </w:rPr>
        <w:t>三、部门预算情况说明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方正仿宋_GBK" w:hAnsi="仿宋_GB2312" w:eastAsia="方正仿宋_GBK" w:cs="仿宋_GB2312"/>
          <w:sz w:val="32"/>
        </w:rPr>
      </w:pPr>
      <w:r>
        <w:rPr>
          <w:rFonts w:hint="eastAsia" w:ascii="方正仿宋_GBK" w:hAnsi="仿宋_GB2312" w:eastAsia="方正仿宋_GBK" w:cs="仿宋_GB2312"/>
          <w:sz w:val="32"/>
        </w:rPr>
        <w:t>2022年一般公共预算财政拨款收入</w:t>
      </w:r>
      <w:r>
        <w:rPr>
          <w:rFonts w:ascii="方正仿宋_GBK" w:hAnsi="仿宋_GB2312" w:eastAsia="方正仿宋_GBK" w:cs="仿宋_GB2312"/>
          <w:sz w:val="32"/>
        </w:rPr>
        <w:t>1494.61</w:t>
      </w:r>
      <w:r>
        <w:rPr>
          <w:rFonts w:hint="eastAsia" w:ascii="方正仿宋_GBK" w:hAnsi="仿宋_GB2312" w:eastAsia="方正仿宋_GBK" w:cs="仿宋_GB2312"/>
          <w:sz w:val="32"/>
        </w:rPr>
        <w:t>万元，一般公共预算财政拨款支出</w:t>
      </w:r>
      <w:r>
        <w:rPr>
          <w:rFonts w:ascii="方正仿宋_GBK" w:hAnsi="仿宋_GB2312" w:eastAsia="方正仿宋_GBK" w:cs="仿宋_GB2312"/>
          <w:sz w:val="32"/>
        </w:rPr>
        <w:t>1494.61</w:t>
      </w:r>
      <w:r>
        <w:rPr>
          <w:rFonts w:hint="eastAsia" w:ascii="方正仿宋_GBK" w:hAnsi="仿宋_GB2312" w:eastAsia="方正仿宋_GBK" w:cs="仿宋_GB2312"/>
          <w:sz w:val="32"/>
        </w:rPr>
        <w:t>万元，比2021年增加91.92万元。其中：基本支出</w:t>
      </w:r>
      <w:r>
        <w:rPr>
          <w:rFonts w:ascii="方正仿宋_GBK" w:hAnsi="仿宋_GB2312" w:eastAsia="方正仿宋_GBK" w:cs="仿宋_GB2312"/>
          <w:sz w:val="32"/>
        </w:rPr>
        <w:t>1488.18</w:t>
      </w:r>
      <w:r>
        <w:rPr>
          <w:rFonts w:hint="eastAsia" w:ascii="方正仿宋_GBK" w:hAnsi="仿宋_GB2312" w:eastAsia="方正仿宋_GBK" w:cs="仿宋_GB2312"/>
          <w:sz w:val="32"/>
        </w:rPr>
        <w:t>万元，比2021年增加85.49万元，主要原因</w:t>
      </w:r>
      <w:r>
        <w:rPr>
          <w:rFonts w:hint="eastAsia" w:ascii="方正仿宋_GBK" w:hAnsi="仿宋_GB2312" w:eastAsia="方正仿宋_GBK" w:cs="仿宋_GB2312"/>
          <w:sz w:val="32"/>
          <w:lang w:val="en-US" w:eastAsia="zh-CN"/>
        </w:rPr>
        <w:t>是</w:t>
      </w:r>
      <w:r>
        <w:rPr>
          <w:rFonts w:hint="eastAsia" w:ascii="方正仿宋_GBK" w:hAnsi="仿宋_GB2312" w:eastAsia="方正仿宋_GBK" w:cs="仿宋_GB2312"/>
          <w:sz w:val="32"/>
        </w:rPr>
        <w:t>人员基本工资增加，主要用于保障在职人员工资福利及社会保险缴费，退休人员补助等，保障部门正常运转的各项商品服务支出；项目支出6.43万元，比2021年增加0.42万元，主要原因是遗属人员增加。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方正仿宋_GBK" w:hAnsi="仿宋_GB2312" w:eastAsia="方正仿宋_GBK" w:cs="仿宋_GB2312"/>
          <w:sz w:val="32"/>
        </w:rPr>
      </w:pPr>
      <w:r>
        <w:rPr>
          <w:rFonts w:hint="eastAsia" w:ascii="方正仿宋_GBK" w:hAnsi="仿宋_GB2312" w:eastAsia="方正仿宋_GBK" w:cs="仿宋_GB2312"/>
          <w:sz w:val="32"/>
        </w:rPr>
        <w:t>重庆市开州区临江镇中心卫生院2022年无使用政府性基金预算拨款安排的支出。</w:t>
      </w:r>
    </w:p>
    <w:p>
      <w:pPr>
        <w:keepNext w:val="0"/>
        <w:keepLines w:val="0"/>
        <w:pageBreakBefore w:val="0"/>
        <w:widowControl w:val="0"/>
        <w:kinsoku/>
        <w:wordWrap/>
        <w:overflowPunct/>
        <w:topLinePunct w:val="0"/>
        <w:autoSpaceDE/>
        <w:autoSpaceDN/>
        <w:bidi w:val="0"/>
        <w:adjustRightInd/>
        <w:snapToGrid/>
        <w:spacing w:line="600" w:lineRule="exact"/>
        <w:ind w:left="640"/>
        <w:textAlignment w:val="auto"/>
        <w:outlineLvl w:val="9"/>
        <w:rPr>
          <w:rFonts w:ascii="方正仿宋_GBK" w:hAnsi="黑体" w:eastAsia="方正仿宋_GBK" w:cs="仿宋_GB2312"/>
          <w:sz w:val="32"/>
        </w:rPr>
      </w:pPr>
      <w:r>
        <w:rPr>
          <w:rFonts w:hint="eastAsia" w:ascii="方正黑体_GBK" w:hAnsi="黑体" w:eastAsia="方正黑体_GBK" w:cs="仿宋_GB2312"/>
          <w:sz w:val="32"/>
        </w:rPr>
        <w:t>四、“三公”经费情况说明</w:t>
      </w:r>
    </w:p>
    <w:p>
      <w:pPr>
        <w:keepNext w:val="0"/>
        <w:keepLines w:val="0"/>
        <w:pageBreakBefore w:val="0"/>
        <w:widowControl w:val="0"/>
        <w:kinsoku/>
        <w:wordWrap/>
        <w:overflowPunct/>
        <w:topLinePunct w:val="0"/>
        <w:autoSpaceDE/>
        <w:autoSpaceDN/>
        <w:bidi w:val="0"/>
        <w:adjustRightInd/>
        <w:snapToGrid/>
        <w:spacing w:line="600" w:lineRule="exact"/>
        <w:ind w:firstLine="600"/>
        <w:textAlignment w:val="auto"/>
        <w:rPr>
          <w:rFonts w:hint="default" w:ascii="方正仿宋_GBK" w:hAnsi="仿宋_GB2312" w:eastAsia="方正仿宋_GBK" w:cs="仿宋_GB2312"/>
          <w:sz w:val="32"/>
          <w:lang w:val="en-US" w:eastAsia="zh-CN"/>
        </w:rPr>
      </w:pPr>
      <w:r>
        <w:rPr>
          <w:rFonts w:hint="eastAsia" w:ascii="方正仿宋_GBK" w:hAnsi="仿宋_GB2312" w:eastAsia="方正仿宋_GBK" w:cs="仿宋_GB2312"/>
          <w:sz w:val="32"/>
          <w:lang w:val="en-US" w:eastAsia="zh-CN"/>
        </w:rPr>
        <w:t>我单位属于差额拨款事业单位，财政未保障我单位“三公”经费，故2022年度无“三公”经费预算，</w:t>
      </w:r>
      <w:r>
        <w:rPr>
          <w:rFonts w:hint="eastAsia" w:ascii="方正仿宋_GBK" w:hAnsi="仿宋_GB2312" w:eastAsia="方正仿宋_GBK" w:cs="仿宋_GB2312"/>
          <w:sz w:val="32"/>
        </w:rPr>
        <w:t>其中：因公出国（境）费用0万元；公务接待费0万元；公务用车运行维护费</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万元，公务用车购置费0万元。</w:t>
      </w:r>
    </w:p>
    <w:p>
      <w:pPr>
        <w:keepNext w:val="0"/>
        <w:keepLines w:val="0"/>
        <w:pageBreakBefore w:val="0"/>
        <w:widowControl w:val="0"/>
        <w:kinsoku/>
        <w:wordWrap/>
        <w:overflowPunct/>
        <w:topLinePunct w:val="0"/>
        <w:autoSpaceDE/>
        <w:autoSpaceDN/>
        <w:bidi w:val="0"/>
        <w:adjustRightInd/>
        <w:snapToGrid/>
        <w:spacing w:line="600" w:lineRule="exact"/>
        <w:ind w:left="640"/>
        <w:textAlignment w:val="auto"/>
        <w:outlineLvl w:val="9"/>
        <w:rPr>
          <w:rFonts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pPr>
      <w:r>
        <w:rPr>
          <w:rFonts w:hint="eastAsia" w:ascii="方正仿宋_GBK" w:hAnsi="仿宋_GB2312" w:eastAsia="方正仿宋_GBK" w:cs="仿宋_GB2312"/>
          <w:sz w:val="32"/>
          <w:lang w:val="en-US" w:eastAsia="zh-CN"/>
        </w:rPr>
        <w:t>2</w:t>
      </w:r>
      <w:r>
        <w:rPr>
          <w:rFonts w:hint="eastAsia" w:ascii="方正仿宋_GBK" w:hAnsi="仿宋_GB2312" w:eastAsia="方正仿宋_GBK" w:cs="仿宋_GB2312"/>
          <w:sz w:val="32"/>
        </w:rPr>
        <w:t>、政府采购情况。</w:t>
      </w:r>
      <w:r>
        <w:rPr>
          <w:rFonts w:hint="eastAsia" w:ascii="方正仿宋_GBK" w:hAnsi="仿宋_GB2312" w:eastAsia="方正仿宋_GBK" w:cs="仿宋_GB2312"/>
          <w:sz w:val="32"/>
          <w:lang w:eastAsia="zh-CN"/>
        </w:rPr>
        <w:t>我</w:t>
      </w:r>
      <w:r>
        <w:rPr>
          <w:rFonts w:hint="eastAsia" w:ascii="方正仿宋_GBK" w:hAnsi="仿宋_GB2312" w:eastAsia="方正仿宋_GBK" w:cs="仿宋_GB2312"/>
          <w:sz w:val="32"/>
        </w:rPr>
        <w:t>单位政府采购预算总额0 万元：政府采购货物预算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万元、政府采购工程预算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万元、政府采购服务预算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万元；其中一般公共预算拨款政府采购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万元：政府采购货物预算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万元、政府采购工程预算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万元、政府采购服务预算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方正仿宋_GBK" w:hAnsi="仿宋_GB2312" w:eastAsia="方正仿宋_GBK" w:cs="仿宋_GB2312"/>
          <w:sz w:val="32"/>
        </w:rPr>
      </w:pPr>
      <w:r>
        <w:rPr>
          <w:rFonts w:hint="eastAsia" w:ascii="方正仿宋_GBK" w:hAnsi="仿宋_GB2312" w:eastAsia="方正仿宋_GBK" w:cs="仿宋_GB2312"/>
          <w:sz w:val="32"/>
          <w:lang w:val="en-US" w:eastAsia="zh-CN"/>
        </w:rPr>
        <w:t>3</w:t>
      </w:r>
      <w:r>
        <w:rPr>
          <w:rFonts w:hint="eastAsia" w:ascii="方正仿宋_GBK" w:hAnsi="仿宋_GB2312" w:eastAsia="方正仿宋_GBK" w:cs="仿宋_GB2312"/>
          <w:sz w:val="32"/>
        </w:rPr>
        <w:t>、绩效目标设置情况。2022年项目支出均实行了</w:t>
      </w:r>
      <w:bookmarkStart w:id="0" w:name="_GoBack"/>
      <w:bookmarkEnd w:id="0"/>
      <w:r>
        <w:rPr>
          <w:rFonts w:hint="eastAsia" w:ascii="方正仿宋_GBK" w:hAnsi="仿宋_GB2312" w:eastAsia="方正仿宋_GBK" w:cs="仿宋_GB2312"/>
          <w:sz w:val="32"/>
        </w:rPr>
        <w:t>绩效目标管理，涉及一般公共预算当年财政拨款6.43万元。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方正仿宋_GBK" w:hAnsi="仿宋_GB2312" w:eastAsia="方正仿宋_GBK" w:cs="仿宋_GB2312"/>
          <w:sz w:val="32"/>
        </w:rPr>
      </w:pPr>
      <w:r>
        <w:rPr>
          <w:rFonts w:hint="eastAsia" w:ascii="方正仿宋_GBK" w:hAnsi="仿宋_GB2312" w:eastAsia="方正仿宋_GBK" w:cs="仿宋_GB2312"/>
          <w:sz w:val="32"/>
        </w:rPr>
        <w:t>4、国有资产占有使用情况。</w:t>
      </w:r>
      <w:r>
        <w:rPr>
          <w:rStyle w:val="10"/>
          <w:rFonts w:hint="eastAsia" w:ascii="方正仿宋_GBK" w:hAnsi="方正仿宋_GBK" w:eastAsia="方正仿宋_GBK" w:cs="方正仿宋_GBK"/>
          <w:b w:val="0"/>
          <w:sz w:val="32"/>
          <w:szCs w:val="32"/>
          <w:shd w:val="clear" w:color="auto" w:fill="FFFFFF"/>
        </w:rPr>
        <w:t>截至2021年12月31日，</w:t>
      </w:r>
      <w:r>
        <w:rPr>
          <w:rStyle w:val="10"/>
          <w:rFonts w:hint="eastAsia" w:ascii="方正仿宋_GBK" w:hAnsi="方正仿宋_GBK" w:eastAsia="方正仿宋_GBK" w:cs="方正仿宋_GBK"/>
          <w:b w:val="0"/>
          <w:sz w:val="32"/>
          <w:szCs w:val="32"/>
          <w:shd w:val="clear" w:color="auto" w:fill="FFFFFF"/>
          <w:lang w:eastAsia="zh-CN"/>
        </w:rPr>
        <w:t>我单位</w:t>
      </w:r>
      <w:r>
        <w:rPr>
          <w:rStyle w:val="10"/>
          <w:rFonts w:hint="eastAsia" w:ascii="方正仿宋_GBK" w:hAnsi="方正仿宋_GBK" w:eastAsia="方正仿宋_GBK" w:cs="方正仿宋_GBK"/>
          <w:b w:val="0"/>
          <w:sz w:val="32"/>
          <w:szCs w:val="32"/>
          <w:shd w:val="clear" w:color="auto" w:fill="FFFFFF"/>
        </w:rPr>
        <w:t>共有救护车3辆，用于急救病人的转运；单价50万元（含）以上通用设备4台（套），单价100万元（含）以上专用设备1台（套）。</w:t>
      </w:r>
    </w:p>
    <w:p>
      <w:pPr>
        <w:keepNext w:val="0"/>
        <w:keepLines w:val="0"/>
        <w:pageBreakBefore w:val="0"/>
        <w:widowControl w:val="0"/>
        <w:kinsoku/>
        <w:wordWrap/>
        <w:overflowPunct/>
        <w:topLinePunct w:val="0"/>
        <w:autoSpaceDE/>
        <w:autoSpaceDN/>
        <w:bidi w:val="0"/>
        <w:adjustRightInd/>
        <w:snapToGrid/>
        <w:spacing w:line="600" w:lineRule="exact"/>
        <w:ind w:left="640"/>
        <w:textAlignment w:val="auto"/>
        <w:outlineLvl w:val="9"/>
        <w:rPr>
          <w:rFonts w:ascii="方正黑体_GBK" w:hAnsi="黑体" w:eastAsia="方正黑体_GBK" w:cs="仿宋_GB2312"/>
          <w:sz w:val="32"/>
        </w:rPr>
      </w:pPr>
      <w:r>
        <w:rPr>
          <w:rFonts w:hint="eastAsia" w:ascii="方正黑体_GBK" w:hAnsi="黑体" w:eastAsia="方正黑体_GBK" w:cs="仿宋_GB2312"/>
          <w:sz w:val="32"/>
        </w:rPr>
        <w:t>六、专业性名词解释</w:t>
      </w:r>
    </w:p>
    <w:p>
      <w:pPr>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firstLine="640" w:firstLineChars="200"/>
        <w:jc w:val="left"/>
        <w:textAlignment w:val="auto"/>
        <w:outlineLvl w:val="9"/>
        <w:rPr>
          <w:rFonts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firstLine="640" w:firstLineChars="200"/>
        <w:jc w:val="left"/>
        <w:textAlignment w:val="auto"/>
        <w:outlineLvl w:val="9"/>
        <w:rPr>
          <w:rFonts w:ascii="方正仿宋_GBK" w:hAnsi="Calibri" w:eastAsia="方正仿宋_GBK"/>
          <w:sz w:val="32"/>
          <w:szCs w:val="32"/>
        </w:rPr>
      </w:pPr>
      <w:r>
        <w:rPr>
          <w:rFonts w:hint="eastAsia" w:ascii="方正仿宋_GBK" w:hAnsi="Calibri" w:eastAsia="方正仿宋_GBK"/>
          <w:sz w:val="32"/>
          <w:szCs w:val="32"/>
        </w:rPr>
        <w:t>（二）其他收入：指单位取得的除“财政拨款收入”“事业收入”“经营收入”等以外的收入。</w:t>
      </w:r>
    </w:p>
    <w:p>
      <w:pPr>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firstLine="640" w:firstLineChars="200"/>
        <w:jc w:val="left"/>
        <w:textAlignment w:val="auto"/>
        <w:outlineLvl w:val="9"/>
        <w:rPr>
          <w:rFonts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firstLine="640" w:firstLineChars="200"/>
        <w:jc w:val="left"/>
        <w:textAlignment w:val="auto"/>
        <w:outlineLvl w:val="9"/>
        <w:rPr>
          <w:rFonts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方正仿宋_GBK" w:hAnsi="仿宋_GB2312" w:eastAsia="方正仿宋_GBK" w:cs="仿宋_GB2312"/>
          <w:sz w:val="32"/>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9"/>
        <w:rPr>
          <w:rFonts w:ascii="方正仿宋_GBK" w:hAnsi="Calibri" w:eastAsia="方正仿宋_GBK"/>
          <w:b/>
          <w:sz w:val="32"/>
        </w:rPr>
      </w:pPr>
      <w:r>
        <w:rPr>
          <w:rFonts w:hint="eastAsia" w:ascii="方正仿宋_GBK" w:hAnsi="仿宋_GB2312" w:eastAsia="方正仿宋_GBK" w:cs="仿宋_GB2312"/>
          <w:b/>
          <w:sz w:val="32"/>
        </w:rPr>
        <w:t>部门预算公开联系人：傅征伟  　联系方式：</w:t>
      </w:r>
      <w:r>
        <w:rPr>
          <w:rFonts w:hint="eastAsia" w:ascii="方正仿宋_GBK" w:hAnsi="Calibri" w:eastAsia="方正仿宋_GBK"/>
          <w:b/>
          <w:sz w:val="32"/>
        </w:rPr>
        <w:t>（电话：023-52811933）</w:t>
      </w:r>
    </w:p>
    <w:p>
      <w:pPr>
        <w:pStyle w:val="2"/>
        <w:keepNext w:val="0"/>
        <w:keepLines w:val="0"/>
        <w:pageBreakBefore w:val="0"/>
        <w:kinsoku/>
        <w:wordWrap/>
        <w:overflowPunct/>
        <w:topLinePunct w:val="0"/>
        <w:autoSpaceDE/>
        <w:autoSpaceDN/>
        <w:bidi w:val="0"/>
        <w:adjustRightInd/>
        <w:spacing w:line="600" w:lineRule="exact"/>
        <w:textAlignment w:val="auto"/>
        <w:outlineLvl w:val="9"/>
        <w:rPr>
          <w:rFonts w:ascii="方正仿宋_GBK" w:hAnsi="Calibri" w:eastAsia="方正仿宋_GBK"/>
          <w:b/>
          <w:sz w:val="32"/>
        </w:rPr>
      </w:pPr>
    </w:p>
    <w:p>
      <w:pPr>
        <w:pStyle w:val="3"/>
        <w:rPr>
          <w:rFonts w:ascii="方正仿宋_GBK" w:hAnsi="Calibri" w:eastAsia="方正仿宋_GBK"/>
          <w:b/>
          <w:sz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8E52B17"/>
    <w:rsid w:val="00006159"/>
    <w:rsid w:val="000A3EED"/>
    <w:rsid w:val="001B620C"/>
    <w:rsid w:val="001F2D65"/>
    <w:rsid w:val="001F5119"/>
    <w:rsid w:val="00265EFF"/>
    <w:rsid w:val="002A3B7D"/>
    <w:rsid w:val="002F0C13"/>
    <w:rsid w:val="003472EC"/>
    <w:rsid w:val="00466047"/>
    <w:rsid w:val="004D2CF9"/>
    <w:rsid w:val="004D3CAE"/>
    <w:rsid w:val="0053478E"/>
    <w:rsid w:val="00691789"/>
    <w:rsid w:val="006F0615"/>
    <w:rsid w:val="00743963"/>
    <w:rsid w:val="007F5DF3"/>
    <w:rsid w:val="00817343"/>
    <w:rsid w:val="008610A2"/>
    <w:rsid w:val="009032A9"/>
    <w:rsid w:val="009B2683"/>
    <w:rsid w:val="00A113AA"/>
    <w:rsid w:val="00A61BF9"/>
    <w:rsid w:val="00A901FB"/>
    <w:rsid w:val="00A92735"/>
    <w:rsid w:val="00B14DCE"/>
    <w:rsid w:val="00B4227B"/>
    <w:rsid w:val="00B5738D"/>
    <w:rsid w:val="00B64BFE"/>
    <w:rsid w:val="00C42FE1"/>
    <w:rsid w:val="00D42067"/>
    <w:rsid w:val="00E0268C"/>
    <w:rsid w:val="00E96017"/>
    <w:rsid w:val="00ED7CAA"/>
    <w:rsid w:val="00EE4B83"/>
    <w:rsid w:val="00FC4515"/>
    <w:rsid w:val="016A44B9"/>
    <w:rsid w:val="01B64BD4"/>
    <w:rsid w:val="0DD62A23"/>
    <w:rsid w:val="12E12C6F"/>
    <w:rsid w:val="163B617B"/>
    <w:rsid w:val="2BC144C7"/>
    <w:rsid w:val="32EE04E3"/>
    <w:rsid w:val="3A8416BB"/>
    <w:rsid w:val="48134556"/>
    <w:rsid w:val="589D7591"/>
    <w:rsid w:val="58D16B9F"/>
    <w:rsid w:val="60051E7F"/>
    <w:rsid w:val="6A4E197B"/>
    <w:rsid w:val="74492009"/>
    <w:rsid w:val="78E52B17"/>
    <w:rsid w:val="7E535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next w:val="3"/>
    <w:unhideWhenUsed/>
    <w:uiPriority w:val="99"/>
    <w:pPr>
      <w:tabs>
        <w:tab w:val="center" w:pos="4153"/>
        <w:tab w:val="right" w:pos="8306"/>
      </w:tabs>
      <w:snapToGrid w:val="0"/>
      <w:jc w:val="left"/>
    </w:pPr>
    <w:rPr>
      <w:kern w:val="0"/>
      <w:sz w:val="18"/>
      <w:szCs w:val="18"/>
    </w:rPr>
  </w:style>
  <w:style w:type="paragraph" w:customStyle="1" w:styleId="3">
    <w:name w:val="索引 51"/>
    <w:basedOn w:val="1"/>
    <w:next w:val="1"/>
    <w:qFormat/>
    <w:uiPriority w:val="0"/>
    <w:pPr>
      <w:ind w:left="1680"/>
    </w:p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kern w:val="0"/>
      <w:sz w:val="24"/>
    </w:rPr>
  </w:style>
  <w:style w:type="paragraph" w:customStyle="1" w:styleId="8">
    <w:name w:val="列出段落1"/>
    <w:basedOn w:val="1"/>
    <w:qFormat/>
    <w:uiPriority w:val="34"/>
    <w:pPr>
      <w:ind w:firstLine="420" w:firstLineChars="200"/>
    </w:pPr>
  </w:style>
  <w:style w:type="character" w:customStyle="1" w:styleId="9">
    <w:name w:val="页眉 Char"/>
    <w:basedOn w:val="6"/>
    <w:link w:val="4"/>
    <w:qFormat/>
    <w:uiPriority w:val="0"/>
    <w:rPr>
      <w:rFonts w:ascii="Times New Roman" w:hAnsi="Times New Roman" w:eastAsia="宋体" w:cs="Times New Roman"/>
      <w:kern w:val="2"/>
      <w:sz w:val="18"/>
      <w:szCs w:val="18"/>
    </w:rPr>
  </w:style>
  <w:style w:type="character" w:customStyle="1" w:styleId="10">
    <w:name w:val="15"/>
    <w:basedOn w:val="6"/>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238</Words>
  <Characters>1358</Characters>
  <Lines>11</Lines>
  <Paragraphs>3</Paragraphs>
  <TotalTime>2</TotalTime>
  <ScaleCrop>false</ScaleCrop>
  <LinksUpToDate>false</LinksUpToDate>
  <CharactersWithSpaces>1593</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2022-02-10T08:25:00Z</dcterms:created>
  <dc:creator>敦煌缪</dc:creator>
  <cp:lastModifiedBy>Administrator</cp:lastModifiedBy>
  <dcterms:modified xsi:type="dcterms:W3CDTF">2023-09-21T01:44:38Z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ies>
</file>