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华文中宋" w:eastAsia="方正小标宋_GBK" w:cs="华文中宋"/>
          <w:sz w:val="44"/>
          <w:szCs w:val="44"/>
        </w:rPr>
      </w:pPr>
      <w:r>
        <w:rPr>
          <w:rFonts w:hint="eastAsia" w:ascii="方正小标宋_GBK" w:hAnsi="华文中宋" w:eastAsia="方正小标宋_GBK" w:cs="华文中宋"/>
          <w:sz w:val="44"/>
          <w:szCs w:val="44"/>
        </w:rPr>
        <w:t>重庆市开州区丰乐街道社区卫生服务中心2022年部门预算情况说明</w:t>
      </w:r>
    </w:p>
    <w:p>
      <w:pPr>
        <w:spacing w:line="600" w:lineRule="exact"/>
        <w:ind w:firstLine="880" w:firstLineChars="200"/>
        <w:jc w:val="center"/>
        <w:rPr>
          <w:rFonts w:ascii="华文中宋" w:hAnsi="华文中宋" w:eastAsia="华文中宋" w:cs="华文中宋"/>
          <w:sz w:val="44"/>
          <w:szCs w:val="44"/>
        </w:rPr>
      </w:pPr>
    </w:p>
    <w:p>
      <w:pPr>
        <w:spacing w:line="600" w:lineRule="exact"/>
        <w:ind w:left="640"/>
        <w:rPr>
          <w:rFonts w:ascii="方正黑体_GBK" w:hAnsi="黑体" w:eastAsia="方正黑体_GBK" w:cs="仿宋_GB2312"/>
          <w:sz w:val="32"/>
        </w:rPr>
      </w:pPr>
      <w:r>
        <w:rPr>
          <w:rFonts w:hint="eastAsia" w:ascii="方正黑体_GBK" w:hAnsi="黑体" w:eastAsia="方正黑体_GBK" w:cs="仿宋_GB2312"/>
          <w:sz w:val="32"/>
        </w:rPr>
        <w:t>一、单位基本情况</w:t>
      </w:r>
    </w:p>
    <w:p>
      <w:pPr>
        <w:spacing w:line="600" w:lineRule="exact"/>
        <w:ind w:firstLine="640" w:firstLineChars="20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（一）职能职责</w:t>
      </w:r>
    </w:p>
    <w:p>
      <w:pPr>
        <w:pStyle w:val="10"/>
        <w:tabs>
          <w:tab w:val="center" w:pos="4153"/>
          <w:tab w:val="left" w:pos="7275"/>
        </w:tabs>
        <w:spacing w:line="600" w:lineRule="exact"/>
        <w:ind w:firstLine="640"/>
        <w:rPr>
          <w:rFonts w:hint="eastAsia" w:ascii="方正仿宋_GBK" w:eastAsia="方正仿宋_GBK"/>
          <w:sz w:val="32"/>
          <w:szCs w:val="32"/>
        </w:rPr>
      </w:pPr>
      <w:r>
        <w:rPr>
          <w:rFonts w:hint="eastAsia" w:ascii="方正仿宋_GBK" w:eastAsia="方正仿宋_GBK"/>
          <w:sz w:val="32"/>
          <w:szCs w:val="32"/>
        </w:rPr>
        <w:t>重庆市开州区丰乐街道社区卫生服务中心位于开州区丰乐街道迎仙山脚下，与新城相距约8公里。我中心是以社区、家庭和居民为服务对象，主要承担基本预防等公共卫生服务和一般常见病、多发病的基本医疗服务。主要职责内容：</w:t>
      </w:r>
    </w:p>
    <w:p>
      <w:pPr>
        <w:pStyle w:val="10"/>
        <w:tabs>
          <w:tab w:val="center" w:pos="4153"/>
          <w:tab w:val="left" w:pos="7275"/>
        </w:tabs>
        <w:spacing w:line="600" w:lineRule="exact"/>
        <w:ind w:firstLine="640"/>
        <w:rPr>
          <w:rFonts w:hint="eastAsia" w:ascii="方正仿宋_GBK" w:eastAsia="方正仿宋_GBK"/>
          <w:sz w:val="32"/>
          <w:szCs w:val="32"/>
        </w:rPr>
      </w:pPr>
      <w:r>
        <w:rPr>
          <w:rFonts w:hint="eastAsia" w:ascii="方正仿宋_GBK" w:eastAsia="方正仿宋_GBK"/>
          <w:sz w:val="32"/>
          <w:szCs w:val="32"/>
        </w:rPr>
        <w:t>1、社区医疗：一般常见病、多发病的诊疗，社区现场救护，慢性病筛查和重点慢性病病例管理，精神病患者管理，转诊服务等。</w:t>
      </w:r>
    </w:p>
    <w:p>
      <w:pPr>
        <w:pStyle w:val="10"/>
        <w:tabs>
          <w:tab w:val="center" w:pos="4153"/>
          <w:tab w:val="left" w:pos="7275"/>
        </w:tabs>
        <w:spacing w:line="600" w:lineRule="exact"/>
        <w:ind w:firstLine="640"/>
        <w:rPr>
          <w:rFonts w:hint="eastAsia" w:ascii="方正仿宋_GBK" w:eastAsia="方正仿宋_GBK"/>
          <w:sz w:val="32"/>
          <w:szCs w:val="32"/>
        </w:rPr>
      </w:pPr>
      <w:r>
        <w:rPr>
          <w:rFonts w:hint="eastAsia" w:ascii="方正仿宋_GBK" w:eastAsia="方正仿宋_GBK"/>
          <w:sz w:val="32"/>
          <w:szCs w:val="32"/>
        </w:rPr>
        <w:t>2、社区预防：社区卫生诊断，传染病疫情报告和监测，预防接种，结核病、艾滋病等重大传染病预防，常见传染病防治，地方病、寄生虫病防治、健康档案管理，爱国卫生指导、中医药健康管理等。</w:t>
      </w:r>
    </w:p>
    <w:p>
      <w:pPr>
        <w:pStyle w:val="10"/>
        <w:tabs>
          <w:tab w:val="center" w:pos="4153"/>
          <w:tab w:val="left" w:pos="7275"/>
        </w:tabs>
        <w:spacing w:line="600" w:lineRule="exact"/>
        <w:ind w:firstLine="640"/>
        <w:rPr>
          <w:rFonts w:hint="eastAsia" w:ascii="方正仿宋_GBK" w:eastAsia="方正仿宋_GBK"/>
          <w:sz w:val="32"/>
          <w:szCs w:val="32"/>
        </w:rPr>
      </w:pPr>
      <w:r>
        <w:rPr>
          <w:rFonts w:hint="eastAsia" w:ascii="方正仿宋_GBK" w:eastAsia="方正仿宋_GBK"/>
          <w:sz w:val="32"/>
          <w:szCs w:val="32"/>
        </w:rPr>
        <w:t>3、社区保健：妇女保健，儿童保健，老年保健等。</w:t>
      </w:r>
    </w:p>
    <w:p>
      <w:pPr>
        <w:pStyle w:val="10"/>
        <w:tabs>
          <w:tab w:val="center" w:pos="4153"/>
          <w:tab w:val="left" w:pos="7275"/>
        </w:tabs>
        <w:spacing w:line="600" w:lineRule="exact"/>
        <w:ind w:firstLine="640"/>
        <w:rPr>
          <w:rFonts w:hint="eastAsia" w:ascii="方正仿宋_GBK" w:eastAsia="方正仿宋_GBK"/>
          <w:sz w:val="32"/>
          <w:szCs w:val="32"/>
        </w:rPr>
      </w:pPr>
      <w:r>
        <w:rPr>
          <w:rFonts w:hint="eastAsia" w:ascii="方正仿宋_GBK" w:eastAsia="方正仿宋_GBK"/>
          <w:sz w:val="32"/>
          <w:szCs w:val="32"/>
        </w:rPr>
        <w:t>4、社区康复：残疾康复，疾病恢复期康复，家庭和社区康复训练指导等。</w:t>
      </w:r>
    </w:p>
    <w:p>
      <w:pPr>
        <w:pStyle w:val="10"/>
        <w:tabs>
          <w:tab w:val="center" w:pos="4153"/>
          <w:tab w:val="left" w:pos="7275"/>
        </w:tabs>
        <w:spacing w:line="600" w:lineRule="exact"/>
        <w:ind w:firstLine="640"/>
        <w:rPr>
          <w:rFonts w:hint="eastAsia" w:ascii="方正仿宋_GBK" w:eastAsia="方正仿宋_GBK"/>
          <w:sz w:val="32"/>
          <w:szCs w:val="32"/>
        </w:rPr>
      </w:pPr>
      <w:r>
        <w:rPr>
          <w:rFonts w:hint="eastAsia" w:ascii="方正仿宋_GBK" w:eastAsia="方正仿宋_GBK"/>
          <w:sz w:val="32"/>
          <w:szCs w:val="32"/>
        </w:rPr>
        <w:t>5、社区健康教育：卫生知识普及，个体和群体的健康管理，重点人群与重点场所健康教育，宣传健康行为和生活方式等。</w:t>
      </w:r>
    </w:p>
    <w:p>
      <w:pPr>
        <w:tabs>
          <w:tab w:val="center" w:pos="4153"/>
          <w:tab w:val="left" w:pos="7275"/>
        </w:tabs>
        <w:spacing w:line="600" w:lineRule="exact"/>
        <w:ind w:left="640"/>
        <w:jc w:val="left"/>
        <w:rPr>
          <w:rFonts w:hint="eastAsia" w:ascii="方正仿宋_GBK" w:eastAsia="方正仿宋_GBK"/>
          <w:sz w:val="32"/>
          <w:szCs w:val="32"/>
        </w:rPr>
      </w:pPr>
      <w:r>
        <w:rPr>
          <w:rFonts w:hint="eastAsia" w:ascii="方正仿宋_GBK" w:eastAsia="方正仿宋_GBK"/>
          <w:sz w:val="32"/>
          <w:szCs w:val="32"/>
        </w:rPr>
        <w:t>6、社区计划生育：计划生育技术服务与咨询指导，发放避孕药具等。</w:t>
      </w:r>
    </w:p>
    <w:p>
      <w:pPr>
        <w:tabs>
          <w:tab w:val="center" w:pos="4153"/>
          <w:tab w:val="left" w:pos="7275"/>
        </w:tabs>
        <w:spacing w:line="600" w:lineRule="exact"/>
        <w:ind w:firstLine="640" w:firstLineChars="200"/>
        <w:jc w:val="left"/>
        <w:rPr>
          <w:rFonts w:hint="eastAsia" w:ascii="方正楷体_GBK" w:hAnsi="方正楷体_GBK" w:eastAsia="方正楷体_GBK" w:cs="方正楷体_GBK"/>
          <w:sz w:val="32"/>
          <w:szCs w:val="22"/>
        </w:rPr>
      </w:pPr>
      <w:r>
        <w:rPr>
          <w:rFonts w:hint="eastAsia" w:ascii="方正楷体_GBK" w:hAnsi="方正楷体_GBK" w:eastAsia="方正楷体_GBK" w:cs="方正楷体_GBK"/>
          <w:sz w:val="32"/>
          <w:szCs w:val="22"/>
        </w:rPr>
        <w:t>（二）机构设置</w:t>
      </w:r>
    </w:p>
    <w:p>
      <w:pPr>
        <w:pStyle w:val="5"/>
        <w:shd w:val="clear" w:color="auto" w:fill="FFFFFF"/>
        <w:snapToGrid w:val="0"/>
        <w:spacing w:before="0" w:beforeAutospacing="0" w:after="0" w:afterAutospacing="0" w:line="600" w:lineRule="exact"/>
        <w:ind w:firstLine="640" w:firstLineChars="200"/>
        <w:rPr>
          <w:rFonts w:hint="default" w:ascii="方正仿宋_GBK" w:hAnsi="方正仿宋_GBK" w:eastAsia="方正仿宋_GBK" w:cs="方正仿宋_GBK"/>
          <w:color w:val="FF0000"/>
          <w:sz w:val="32"/>
          <w:szCs w:val="32"/>
          <w:shd w:val="clear" w:color="auto" w:fill="FFFFFF"/>
        </w:rPr>
      </w:pPr>
      <w:r>
        <w:rPr>
          <w:rFonts w:ascii="方正仿宋_GBK" w:hAnsi="方正仿宋_GBK" w:eastAsia="方正仿宋_GBK" w:cs="方正仿宋_GBK"/>
          <w:color w:val="000000"/>
          <w:sz w:val="32"/>
          <w:szCs w:val="32"/>
          <w:shd w:val="clear" w:color="auto" w:fill="FFFFFF"/>
        </w:rPr>
        <w:t>设置住院部、门诊部、护理部、中医（理疗）科、手术室、消毒供应科及辅助科，其中辅助科包括放射科、检验科、彩超室、心电图室、经颅多普勒室、肺功能检测室等科室。</w:t>
      </w:r>
    </w:p>
    <w:p>
      <w:pPr>
        <w:tabs>
          <w:tab w:val="center" w:pos="4153"/>
          <w:tab w:val="left" w:pos="7275"/>
        </w:tabs>
        <w:spacing w:line="600" w:lineRule="exact"/>
        <w:ind w:firstLine="640" w:firstLineChars="200"/>
        <w:jc w:val="left"/>
        <w:rPr>
          <w:rFonts w:hint="eastAsia" w:ascii="方正楷体_GBK" w:hAnsi="方正楷体_GBK" w:eastAsia="方正楷体_GBK" w:cs="方正楷体_GBK"/>
          <w:sz w:val="32"/>
          <w:szCs w:val="22"/>
        </w:rPr>
      </w:pPr>
      <w:r>
        <w:rPr>
          <w:rFonts w:hint="eastAsia" w:ascii="方正楷体_GBK" w:hAnsi="方正楷体_GBK" w:eastAsia="方正楷体_GBK" w:cs="方正楷体_GBK"/>
          <w:sz w:val="32"/>
          <w:szCs w:val="22"/>
        </w:rPr>
        <w:t>（三）单位构成</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从预算单位构成看，本单位是二级预算单位，主管部门为重庆市开州区卫生健康委员会。</w:t>
      </w:r>
    </w:p>
    <w:p>
      <w:pPr>
        <w:spacing w:line="600" w:lineRule="exact"/>
        <w:ind w:left="640"/>
        <w:rPr>
          <w:rFonts w:ascii="方正仿宋_GBK" w:hAnsi="黑体" w:eastAsia="方正仿宋_GBK" w:cs="仿宋_GB2312"/>
          <w:sz w:val="32"/>
        </w:rPr>
      </w:pPr>
      <w:r>
        <w:rPr>
          <w:rFonts w:hint="eastAsia" w:ascii="方正黑体_GBK" w:hAnsi="黑体" w:eastAsia="方正黑体_GBK" w:cs="仿宋_GB2312"/>
          <w:sz w:val="32"/>
        </w:rPr>
        <w:t>二、部门收支总体情况</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（一）收入预算：2022年年初预算数1246.49万元，其中：一般公共预算拨款338.6万元，政府性基金预算拨款 0万元，国有资本经营预算收入0万元，事业收入907.89万元，事业单位经营收入0万元，其他收入0万元。收入较2021年增加12.27万元，主要是一般公共预算拨款增加。</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（二）支出预算：2022年年初预算数1246.69万元，其中：一般公共服务支出预算0万元，教育支出预算0万元，社会保障和就业支出预算107.34万元，卫生健康支出预算 1110.78万元，住房保障支出预算28.37万元。支出预算较2021年增加12.27万元，主要是基本支出预算增加。</w:t>
      </w:r>
    </w:p>
    <w:p>
      <w:pPr>
        <w:spacing w:line="600" w:lineRule="exact"/>
        <w:ind w:left="640"/>
        <w:rPr>
          <w:rFonts w:ascii="方正黑体_GBK" w:hAnsi="黑体" w:eastAsia="方正黑体_GBK" w:cs="仿宋_GB2312"/>
          <w:sz w:val="32"/>
        </w:rPr>
      </w:pPr>
      <w:r>
        <w:rPr>
          <w:rFonts w:hint="eastAsia" w:ascii="方正黑体_GBK" w:hAnsi="黑体" w:eastAsia="方正黑体_GBK" w:cs="仿宋_GB2312"/>
          <w:sz w:val="32"/>
        </w:rPr>
        <w:t>三、部门预算情况说明</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2022年一般公共预算财政拨款收入338.6万元，一般公共预算财政拨款支出338.6万元，比2021年增加12.27万元。其中：基本支出338.6万元，比2021年增加12.27万元，主要原因是退休人员补助增加等，主要用于保障在职人员工资福利及社会保险缴费，退休人员补助等，保障部门正常运转的各项商品服务支出；项目支出0万元，与2021年无变化。</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重庆市开州区丰乐街道社区卫生服务中心2022年无使用政府性基金预算拨款安排的支出。</w:t>
      </w:r>
    </w:p>
    <w:p>
      <w:pPr>
        <w:spacing w:line="600" w:lineRule="exact"/>
        <w:ind w:left="640"/>
        <w:rPr>
          <w:rFonts w:ascii="方正仿宋_GBK" w:hAnsi="黑体" w:eastAsia="方正仿宋_GBK" w:cs="仿宋_GB2312"/>
          <w:sz w:val="32"/>
        </w:rPr>
      </w:pPr>
      <w:r>
        <w:rPr>
          <w:rFonts w:hint="eastAsia" w:ascii="方正黑体_GBK" w:hAnsi="黑体" w:eastAsia="方正黑体_GBK" w:cs="仿宋_GB2312"/>
          <w:sz w:val="32"/>
        </w:rPr>
        <w:t>四、“三公”经费情况说明</w:t>
      </w:r>
    </w:p>
    <w:p>
      <w:pPr>
        <w:spacing w:line="600" w:lineRule="exact"/>
        <w:ind w:firstLine="600"/>
        <w:rPr>
          <w:rFonts w:ascii="方正仿宋_GBK" w:hAnsi="仿宋_GB2312" w:eastAsia="方正仿宋_GBK" w:cs="仿宋_GB2312"/>
          <w:sz w:val="32"/>
        </w:rPr>
      </w:pPr>
      <w:r>
        <w:rPr>
          <w:rFonts w:hint="eastAsia" w:ascii="方正仿宋_GBK" w:hAnsi="仿宋_GB2312" w:eastAsia="方正仿宋_GBK" w:cs="仿宋_GB2312"/>
          <w:sz w:val="32"/>
        </w:rPr>
        <w:t>2022年“三公”经费预算0万元，与2021年无变化。其中：因公出国（境）费用0万元；公务接待费0万元；公务用车运行维护费</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万元，公务用车购置费0万元。</w:t>
      </w:r>
    </w:p>
    <w:p>
      <w:pPr>
        <w:spacing w:line="600" w:lineRule="exact"/>
        <w:ind w:left="640"/>
        <w:rPr>
          <w:rFonts w:ascii="方正黑体_GBK" w:hAnsi="黑体" w:eastAsia="方正黑体_GBK" w:cs="仿宋_GB2312"/>
          <w:sz w:val="32"/>
        </w:rPr>
      </w:pPr>
      <w:r>
        <w:rPr>
          <w:rFonts w:hint="eastAsia" w:ascii="方正黑体_GBK" w:hAnsi="黑体" w:eastAsia="方正黑体_GBK" w:cs="仿宋_GB2312"/>
          <w:sz w:val="32"/>
        </w:rPr>
        <w:t>五、其他重要事项的情况说明</w:t>
      </w:r>
    </w:p>
    <w:p>
      <w:pPr>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1、我单位不在机关运行经费统计范围之内。</w:t>
      </w:r>
    </w:p>
    <w:p>
      <w:pPr>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 xml:space="preserve">2、政府采购情况。政府采购预算总额 </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w:t>
      </w:r>
      <w:bookmarkStart w:id="0" w:name="_GoBack"/>
      <w:bookmarkEnd w:id="0"/>
      <w:r>
        <w:rPr>
          <w:rFonts w:hint="eastAsia" w:ascii="方正仿宋_GBK" w:hAnsi="仿宋_GB2312" w:eastAsia="方正仿宋_GBK" w:cs="仿宋_GB2312"/>
          <w:sz w:val="32"/>
        </w:rPr>
        <w:t>：政府采购货物预算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万元、政府采购工程预算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万元、政府采购服务预算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万元；其中一般公共预算拨款政府采购</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 xml:space="preserve">万元：政府采购货物预算 </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 xml:space="preserve">万元、政府采购工程预算 </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万元、政府采购服务预算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w:t>
      </w:r>
    </w:p>
    <w:p>
      <w:pPr>
        <w:ind w:firstLine="640" w:firstLineChars="200"/>
        <w:rPr>
          <w:rFonts w:ascii="方正仿宋_GBK" w:hAnsi="仿宋_GB2312" w:eastAsia="方正仿宋_GBK" w:cs="仿宋_GB2312"/>
          <w:color w:val="000000"/>
          <w:sz w:val="32"/>
        </w:rPr>
      </w:pPr>
      <w:r>
        <w:rPr>
          <w:rFonts w:hint="eastAsia" w:ascii="方正仿宋_GBK" w:hAnsi="仿宋_GB2312" w:eastAsia="方正仿宋_GBK" w:cs="仿宋_GB2312"/>
          <w:sz w:val="32"/>
        </w:rPr>
        <w:t>3、绩效目标设置情况。</w:t>
      </w:r>
      <w:r>
        <w:rPr>
          <w:rFonts w:hint="eastAsia" w:ascii="方正仿宋_GBK" w:hAnsi="仿宋_GB2312" w:eastAsia="方正仿宋_GBK" w:cs="仿宋_GB2312"/>
          <w:color w:val="000000"/>
          <w:sz w:val="32"/>
        </w:rPr>
        <w:t>2022年无项目支出无绩效目标管理。</w:t>
      </w:r>
    </w:p>
    <w:p>
      <w:pPr>
        <w:ind w:firstLine="640" w:firstLineChars="200"/>
        <w:rPr>
          <w:rFonts w:ascii="方正仿宋_GBK" w:hAnsi="仿宋_GB2312" w:eastAsia="方正仿宋_GBK" w:cs="仿宋_GB2312"/>
          <w:color w:val="000000"/>
          <w:sz w:val="32"/>
        </w:rPr>
      </w:pPr>
      <w:r>
        <w:rPr>
          <w:rFonts w:hint="eastAsia" w:ascii="方正仿宋_GBK" w:hAnsi="仿宋_GB2312" w:eastAsia="方正仿宋_GBK" w:cs="仿宋_GB2312"/>
          <w:color w:val="000000"/>
          <w:sz w:val="32"/>
        </w:rPr>
        <w:t>4、国有资产占有使用情况。截至2021年12月，我单位共有车辆1辆，其中一般公务用车0辆、特种用车1辆。2022年无一般公共预算安排购置车辆。</w:t>
      </w:r>
    </w:p>
    <w:p>
      <w:pPr>
        <w:spacing w:line="600" w:lineRule="exact"/>
        <w:ind w:left="640"/>
        <w:rPr>
          <w:rFonts w:ascii="方正黑体_GBK" w:hAnsi="黑体" w:eastAsia="方正黑体_GBK" w:cs="仿宋_GB2312"/>
          <w:sz w:val="32"/>
        </w:rPr>
      </w:pPr>
      <w:r>
        <w:rPr>
          <w:rFonts w:hint="eastAsia" w:ascii="方正黑体_GBK" w:hAnsi="黑体" w:eastAsia="方正黑体_GBK" w:cs="仿宋_GB2312"/>
          <w:sz w:val="32"/>
        </w:rPr>
        <w:t>六、专业性名词解释</w:t>
      </w:r>
    </w:p>
    <w:p>
      <w:pPr>
        <w:tabs>
          <w:tab w:val="center" w:pos="4153"/>
          <w:tab w:val="left" w:pos="7275"/>
        </w:tabs>
        <w:spacing w:line="600" w:lineRule="exact"/>
        <w:ind w:firstLine="640" w:firstLineChars="200"/>
        <w:jc w:val="left"/>
        <w:rPr>
          <w:rFonts w:hint="eastAsia" w:ascii="方正仿宋_GBK" w:hAnsi="Calibri" w:eastAsia="方正仿宋_GBK"/>
          <w:sz w:val="32"/>
          <w:szCs w:val="32"/>
        </w:rPr>
      </w:pPr>
      <w:r>
        <w:rPr>
          <w:rFonts w:hint="eastAsia" w:ascii="方正仿宋_GBK" w:hAnsi="Calibri" w:eastAsia="方正仿宋_GBK"/>
          <w:sz w:val="32"/>
          <w:szCs w:val="32"/>
        </w:rPr>
        <w:t>（一）财政拨款收入：指本年度从本级财政部门取得的财政拨款，包括一般公共预算财政拨款和政府性基金预算财政拨款。</w:t>
      </w:r>
    </w:p>
    <w:p>
      <w:pPr>
        <w:tabs>
          <w:tab w:val="center" w:pos="4153"/>
          <w:tab w:val="left" w:pos="7275"/>
        </w:tabs>
        <w:spacing w:line="600" w:lineRule="exact"/>
        <w:ind w:firstLine="640" w:firstLineChars="200"/>
        <w:jc w:val="left"/>
        <w:rPr>
          <w:rFonts w:hint="eastAsia" w:ascii="方正仿宋_GBK" w:hAnsi="Calibri" w:eastAsia="方正仿宋_GBK"/>
          <w:sz w:val="32"/>
          <w:szCs w:val="32"/>
        </w:rPr>
      </w:pPr>
      <w:r>
        <w:rPr>
          <w:rFonts w:hint="eastAsia" w:ascii="方正仿宋_GBK" w:hAnsi="Calibri" w:eastAsia="方正仿宋_GBK"/>
          <w:sz w:val="32"/>
          <w:szCs w:val="32"/>
        </w:rPr>
        <w:t>（二）其他收入：指单位取得的除“财政拨款收入”“事业收入”“经营收入”等以外的收入。</w:t>
      </w:r>
    </w:p>
    <w:p>
      <w:pPr>
        <w:tabs>
          <w:tab w:val="center" w:pos="4153"/>
          <w:tab w:val="left" w:pos="7275"/>
        </w:tabs>
        <w:spacing w:line="600" w:lineRule="exact"/>
        <w:ind w:firstLine="640" w:firstLineChars="200"/>
        <w:jc w:val="left"/>
        <w:rPr>
          <w:rFonts w:hint="eastAsia" w:ascii="方正仿宋_GBK" w:hAnsi="Calibri" w:eastAsia="方正仿宋_GBK"/>
          <w:sz w:val="32"/>
          <w:szCs w:val="32"/>
        </w:rPr>
      </w:pPr>
      <w:r>
        <w:rPr>
          <w:rFonts w:hint="eastAsia" w:ascii="方正仿宋_GBK" w:hAnsi="Calibri" w:eastAsia="方正仿宋_GBK"/>
          <w:sz w:val="32"/>
          <w:szCs w:val="32"/>
        </w:rPr>
        <w:t>（三）基本支出：指为保障机构正常运转、完成日常工作任务而发生的人员经费和公用经费。</w:t>
      </w:r>
    </w:p>
    <w:p>
      <w:pPr>
        <w:tabs>
          <w:tab w:val="center" w:pos="4153"/>
          <w:tab w:val="left" w:pos="7275"/>
        </w:tabs>
        <w:spacing w:line="600" w:lineRule="exact"/>
        <w:ind w:firstLine="640" w:firstLineChars="200"/>
        <w:jc w:val="left"/>
        <w:rPr>
          <w:rFonts w:hint="eastAsia" w:ascii="方正仿宋_GBK" w:hAnsi="Calibri" w:eastAsia="方正仿宋_GBK"/>
          <w:sz w:val="32"/>
          <w:szCs w:val="32"/>
        </w:rPr>
      </w:pPr>
      <w:r>
        <w:rPr>
          <w:rFonts w:hint="eastAsia" w:ascii="方正仿宋_GBK" w:hAnsi="Calibri" w:eastAsia="方正仿宋_GBK"/>
          <w:sz w:val="32"/>
          <w:szCs w:val="32"/>
        </w:rPr>
        <w:t>（四）项目支出：指在基本支出之外为完成特定行政任务和事业发展目标所发生的支出。</w:t>
      </w:r>
    </w:p>
    <w:p>
      <w:pPr>
        <w:ind w:firstLine="640" w:firstLineChars="200"/>
        <w:rPr>
          <w:rFonts w:ascii="方正仿宋_GBK" w:hAnsi="仿宋_GB2312" w:eastAsia="方正仿宋_GBK" w:cs="仿宋_GB2312"/>
          <w:color w:val="000000"/>
          <w:sz w:val="32"/>
        </w:rPr>
      </w:pPr>
      <w:r>
        <w:rPr>
          <w:rFonts w:hint="eastAsia" w:ascii="方正仿宋_GBK" w:hAnsi="Calibri" w:eastAsia="方正仿宋_GBK"/>
          <w:sz w:val="32"/>
          <w:szCs w:val="32"/>
        </w:rPr>
        <w:t>（五）“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ind w:firstLine="643" w:firstLineChars="200"/>
        <w:rPr>
          <w:rFonts w:ascii="仿宋_GB2312" w:hAnsi="仿宋_GB2312" w:eastAsia="仿宋_GB2312" w:cs="仿宋_GB2312"/>
          <w:b/>
          <w:sz w:val="32"/>
        </w:rPr>
      </w:pPr>
      <w:r>
        <w:rPr>
          <w:rFonts w:hint="eastAsia" w:ascii="方正仿宋_GBK" w:hAnsi="仿宋_GB2312" w:eastAsia="方正仿宋_GBK" w:cs="仿宋_GB2312"/>
          <w:b/>
          <w:sz w:val="32"/>
        </w:rPr>
        <w:t>部门预算公开联系人：邓继伟  　联系方式：</w:t>
      </w:r>
      <w:r>
        <w:rPr>
          <w:rFonts w:hint="eastAsia" w:ascii="方正仿宋_GBK" w:hAnsi="Calibri" w:eastAsia="方正仿宋_GBK"/>
          <w:b/>
          <w:sz w:val="32"/>
        </w:rPr>
        <w:t>（邓继伟，电话：023-52291465）</w:t>
      </w:r>
    </w:p>
    <w:p>
      <w:pPr>
        <w:spacing w:line="620" w:lineRule="exact"/>
        <w:ind w:firstLine="2880" w:firstLineChars="900"/>
        <w:rPr>
          <w:rFonts w:hint="eastAsia" w:ascii="方正仿宋_GBK" w:hAnsi="Calibri" w:eastAsia="方正仿宋_GBK"/>
          <w:sz w:val="32"/>
          <w:szCs w:val="32"/>
        </w:rPr>
      </w:pPr>
    </w:p>
    <w:p>
      <w:pPr>
        <w:spacing w:line="630" w:lineRule="exact"/>
        <w:ind w:firstLine="420" w:firstLineChars="200"/>
      </w:pP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D542C"/>
    <w:rsid w:val="001D4E60"/>
    <w:rsid w:val="00273C4D"/>
    <w:rsid w:val="002D4C3D"/>
    <w:rsid w:val="003C76B2"/>
    <w:rsid w:val="00443156"/>
    <w:rsid w:val="004A4DA8"/>
    <w:rsid w:val="004D1635"/>
    <w:rsid w:val="0052775C"/>
    <w:rsid w:val="00530BE3"/>
    <w:rsid w:val="00541254"/>
    <w:rsid w:val="005A3378"/>
    <w:rsid w:val="00606205"/>
    <w:rsid w:val="00622448"/>
    <w:rsid w:val="00640277"/>
    <w:rsid w:val="00677094"/>
    <w:rsid w:val="00683786"/>
    <w:rsid w:val="006D542C"/>
    <w:rsid w:val="006D694C"/>
    <w:rsid w:val="008D617F"/>
    <w:rsid w:val="009867B2"/>
    <w:rsid w:val="009F5841"/>
    <w:rsid w:val="00AA7C94"/>
    <w:rsid w:val="00B316E2"/>
    <w:rsid w:val="00BA02FA"/>
    <w:rsid w:val="00BD5C9B"/>
    <w:rsid w:val="00C02EA2"/>
    <w:rsid w:val="00D22F88"/>
    <w:rsid w:val="00D94ECB"/>
    <w:rsid w:val="00DD35CD"/>
    <w:rsid w:val="00DF2EB2"/>
    <w:rsid w:val="00F31E76"/>
    <w:rsid w:val="00FC2A05"/>
    <w:rsid w:val="1AA00A16"/>
    <w:rsid w:val="2FB74368"/>
    <w:rsid w:val="4CC3668A"/>
    <w:rsid w:val="668D6C03"/>
    <w:rsid w:val="7A010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next w:val="3"/>
    <w:link w:val="11"/>
    <w:unhideWhenUsed/>
    <w:uiPriority w:val="99"/>
    <w:pPr>
      <w:tabs>
        <w:tab w:val="center" w:pos="4153"/>
        <w:tab w:val="right" w:pos="8306"/>
      </w:tabs>
      <w:snapToGrid w:val="0"/>
      <w:jc w:val="left"/>
    </w:pPr>
    <w:rPr>
      <w:sz w:val="18"/>
      <w:szCs w:val="18"/>
    </w:rPr>
  </w:style>
  <w:style w:type="paragraph" w:customStyle="1" w:styleId="3">
    <w:name w:val="索引 51"/>
    <w:basedOn w:val="1"/>
    <w:next w:val="1"/>
    <w:qFormat/>
    <w:uiPriority w:val="0"/>
    <w:pPr>
      <w:ind w:left="1680"/>
    </w:p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hint="eastAsia" w:ascii="宋体" w:hAnsi="宋体"/>
      <w:kern w:val="0"/>
      <w:sz w:val="24"/>
    </w:rPr>
  </w:style>
  <w:style w:type="character" w:styleId="7">
    <w:name w:val="Strong"/>
    <w:basedOn w:val="6"/>
    <w:qFormat/>
    <w:uiPriority w:val="22"/>
    <w:rPr>
      <w:b/>
      <w:bCs/>
    </w:rPr>
  </w:style>
  <w:style w:type="character" w:customStyle="1" w:styleId="9">
    <w:name w:val="页眉 Char"/>
    <w:basedOn w:val="6"/>
    <w:link w:val="4"/>
    <w:qFormat/>
    <w:uiPriority w:val="99"/>
    <w:rPr>
      <w:rFonts w:ascii="Times New Roman" w:hAnsi="Times New Roman" w:eastAsia="宋体" w:cs="Times New Roman"/>
      <w:sz w:val="18"/>
      <w:szCs w:val="18"/>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页脚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268</Words>
  <Characters>1529</Characters>
  <Lines>12</Lines>
  <Paragraphs>3</Paragraphs>
  <TotalTime>0</TotalTime>
  <ScaleCrop>false</ScaleCrop>
  <LinksUpToDate>false</LinksUpToDate>
  <CharactersWithSpaces>1794</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2022-02-10T05:14:00Z</dcterms:created>
  <dc:creator>Administrator</dc:creator>
  <cp:lastModifiedBy>Administrator</cp:lastModifiedBy>
  <dcterms:modified xsi:type="dcterms:W3CDTF">2023-09-21T01:56:16Z</dcterms:modified>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