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30" w:lineRule="exact"/>
        <w:ind w:firstLine="420" w:firstLineChars="200"/>
        <w:rPr>
          <w:rFonts w:hint="eastAsia"/>
          <w:lang w:val="en-US" w:eastAsia="zh-CN"/>
        </w:rPr>
      </w:pPr>
    </w:p>
    <w:p>
      <w:pPr>
        <w:pStyle w:val="2"/>
        <w:rPr>
          <w:rFonts w:hint="eastAsia"/>
          <w:lang w:val="en-US" w:eastAsia="zh-CN"/>
        </w:rPr>
      </w:pPr>
    </w:p>
    <w:p>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val="0"/>
          <w:bCs/>
          <w:sz w:val="44"/>
          <w:szCs w:val="44"/>
          <w:lang w:eastAsia="zh-CN"/>
        </w:rPr>
        <w:t>重庆市开州区白鹤街道社区卫生服务中心</w:t>
      </w:r>
      <w:r>
        <w:rPr>
          <w:rFonts w:hint="eastAsia" w:ascii="方正小标宋_GBK" w:hAnsi="方正小标宋_GBK" w:eastAsia="方正小标宋_GBK" w:cs="方正小标宋_GBK"/>
          <w:sz w:val="44"/>
          <w:szCs w:val="44"/>
        </w:rPr>
        <w:t>2022年部门预算情况说明</w:t>
      </w:r>
    </w:p>
    <w:p>
      <w:pPr>
        <w:spacing w:line="600" w:lineRule="exact"/>
        <w:ind w:firstLine="880" w:firstLineChars="200"/>
        <w:jc w:val="center"/>
        <w:rPr>
          <w:rFonts w:hint="eastAsia" w:ascii="方正小标宋_GBK" w:hAnsi="方正小标宋_GBK" w:eastAsia="方正小标宋_GBK" w:cs="方正小标宋_GBK"/>
          <w:sz w:val="44"/>
          <w:szCs w:val="44"/>
        </w:rPr>
      </w:pPr>
    </w:p>
    <w:p>
      <w:pPr>
        <w:spacing w:line="600" w:lineRule="exact"/>
        <w:ind w:left="640"/>
        <w:rPr>
          <w:rFonts w:hint="eastAsia" w:ascii="方正黑体_GBK" w:hAnsi="黑体" w:eastAsia="方正黑体_GBK" w:cs="仿宋_GB2312"/>
          <w:sz w:val="32"/>
          <w:szCs w:val="32"/>
        </w:rPr>
      </w:pPr>
      <w:r>
        <w:rPr>
          <w:rFonts w:hint="eastAsia" w:ascii="方正黑体_GBK" w:hAnsi="黑体" w:eastAsia="方正黑体_GBK" w:cs="仿宋_GB2312"/>
          <w:sz w:val="32"/>
          <w:szCs w:val="32"/>
        </w:rPr>
        <w:t>一、单位基本情况</w:t>
      </w:r>
    </w:p>
    <w:p>
      <w:pPr>
        <w:spacing w:line="600" w:lineRule="exact"/>
        <w:ind w:firstLine="640" w:firstLineChars="20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（一）职能职责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hAnsi="仿宋_GB2312" w:eastAsia="方正仿宋_GBK" w:cs="仿宋_GB2312"/>
          <w:color w:val="auto"/>
          <w:sz w:val="32"/>
        </w:rPr>
      </w:pPr>
      <w:r>
        <w:rPr>
          <w:rFonts w:hint="eastAsia" w:ascii="方正仿宋_GBK" w:hAnsi="方正仿宋_GBK" w:eastAsia="方正仿宋_GBK" w:cs="方正仿宋_GBK"/>
          <w:color w:val="auto"/>
          <w:kern w:val="0"/>
          <w:sz w:val="32"/>
          <w:szCs w:val="32"/>
        </w:rPr>
        <w:t>是为社区居民身体健康提供基本医疗和公共卫生服务。为计划生育提供技术服务;</w:t>
      </w:r>
      <w:r>
        <w:rPr>
          <w:rFonts w:hint="eastAsia" w:ascii="方正仿宋_GBK" w:hAnsi="方正仿宋_GBK" w:eastAsia="方正仿宋_GBK" w:cs="方正仿宋_GBK"/>
          <w:color w:val="auto"/>
          <w:kern w:val="0"/>
          <w:sz w:val="32"/>
          <w:szCs w:val="32"/>
          <w:lang w:val="en-US" w:eastAsia="zh-CN"/>
        </w:rPr>
        <w:t xml:space="preserve"> </w:t>
      </w:r>
      <w:r>
        <w:rPr>
          <w:rFonts w:hint="eastAsia" w:ascii="方正仿宋_GBK" w:hAnsi="方正仿宋_GBK" w:eastAsia="方正仿宋_GBK" w:cs="方正仿宋_GBK"/>
          <w:color w:val="auto"/>
          <w:kern w:val="0"/>
          <w:sz w:val="32"/>
          <w:szCs w:val="32"/>
        </w:rPr>
        <w:t>社区预防；社区保健；社区医疗；社区康复；社区健康教育；社区计划生育及相关社会服务；贯彻落实医养结合政策措施，开展医疗服务与养老服务相结合的有关工作；负责老年人的医疗照护、慢性病康复、心理健康咨询与养老关怀服务等。</w:t>
      </w:r>
    </w:p>
    <w:p>
      <w:pPr>
        <w:tabs>
          <w:tab w:val="center" w:pos="4153"/>
          <w:tab w:val="left" w:pos="7275"/>
        </w:tabs>
        <w:spacing w:line="600" w:lineRule="exact"/>
        <w:ind w:left="640"/>
        <w:jc w:val="left"/>
        <w:rPr>
          <w:rFonts w:hint="eastAsia" w:ascii="方正楷体_GBK" w:hAnsi="方正楷体_GBK" w:eastAsia="方正楷体_GBK" w:cs="方正楷体_GBK"/>
          <w:color w:val="auto"/>
          <w:sz w:val="32"/>
          <w:szCs w:val="22"/>
        </w:rPr>
      </w:pPr>
      <w:r>
        <w:rPr>
          <w:rFonts w:hint="eastAsia" w:ascii="方正楷体_GBK" w:hAnsi="方正楷体_GBK" w:eastAsia="方正楷体_GBK" w:cs="方正楷体_GBK"/>
          <w:color w:val="auto"/>
          <w:sz w:val="32"/>
          <w:szCs w:val="22"/>
        </w:rPr>
        <w:t>（二）单位构成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开设内科、外科、妇（儿）科、中医科、康复理疗科、公共卫生管理科、影像（放射、超声）科、检验科、心电图室、中（西）药房、</w:t>
      </w:r>
      <w:r>
        <w:rPr>
          <w:rFonts w:hint="eastAsia" w:ascii="方正仿宋_GBK" w:hAnsi="方正仿宋_GBK" w:eastAsia="方正仿宋_GBK" w:cs="方正仿宋_GBK"/>
          <w:color w:val="auto"/>
          <w:kern w:val="0"/>
          <w:sz w:val="32"/>
          <w:szCs w:val="32"/>
          <w:lang w:eastAsia="zh-CN"/>
        </w:rPr>
        <w:t>财</w:t>
      </w:r>
      <w:r>
        <w:rPr>
          <w:rFonts w:hint="eastAsia" w:ascii="方正仿宋_GBK" w:hAnsi="方正仿宋_GBK" w:eastAsia="方正仿宋_GBK" w:cs="方正仿宋_GBK"/>
          <w:color w:val="auto"/>
          <w:kern w:val="0"/>
          <w:sz w:val="32"/>
          <w:szCs w:val="32"/>
        </w:rPr>
        <w:t>务科、院感科、医务科等科室。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从预算单位构成看，本单位是二级预算单位，主管部门为重庆市开州区卫生健康委员会。</w:t>
      </w:r>
    </w:p>
    <w:p>
      <w:pPr>
        <w:spacing w:line="600" w:lineRule="exact"/>
        <w:ind w:left="640"/>
        <w:rPr>
          <w:rFonts w:hint="eastAsia" w:ascii="方正仿宋_GBK" w:hAnsi="黑体" w:eastAsia="方正仿宋_GBK" w:cs="仿宋_GB2312"/>
          <w:color w:val="auto"/>
          <w:sz w:val="32"/>
        </w:rPr>
      </w:pPr>
      <w:r>
        <w:rPr>
          <w:rFonts w:hint="eastAsia" w:ascii="方正黑体_GBK" w:hAnsi="黑体" w:eastAsia="方正黑体_GBK" w:cs="仿宋_GB2312"/>
          <w:color w:val="auto"/>
          <w:sz w:val="32"/>
        </w:rPr>
        <w:t>二、部门收支总体情况</w:t>
      </w:r>
    </w:p>
    <w:p>
      <w:pPr>
        <w:spacing w:line="600" w:lineRule="exact"/>
        <w:ind w:firstLine="640" w:firstLineChars="200"/>
        <w:rPr>
          <w:rFonts w:hint="eastAsia" w:ascii="方正仿宋_GBK" w:hAnsi="仿宋_GB2312" w:eastAsia="方正仿宋_GBK" w:cs="仿宋_GB2312"/>
          <w:sz w:val="32"/>
        </w:rPr>
      </w:pPr>
      <w:r>
        <w:rPr>
          <w:rFonts w:hint="eastAsia" w:ascii="方正楷体_GBK" w:hAnsi="方正楷体_GBK" w:eastAsia="方正楷体_GBK" w:cs="方正楷体_GBK"/>
          <w:sz w:val="32"/>
        </w:rPr>
        <w:t>（一）收入预算</w:t>
      </w:r>
      <w:r>
        <w:rPr>
          <w:rFonts w:hint="eastAsia" w:ascii="方正仿宋_GBK" w:hAnsi="仿宋_GB2312" w:eastAsia="方正仿宋_GBK" w:cs="仿宋_GB2312"/>
          <w:sz w:val="32"/>
        </w:rPr>
        <w:t>：2022年年初预算数 2023.62万元，其中：一般公共预算拨款572.62万元，事业收入1451.00万元，其他收入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万元。收入较2021年增加</w:t>
      </w:r>
      <w:r>
        <w:rPr>
          <w:rFonts w:hint="eastAsia" w:ascii="方正仿宋_GBK" w:hAnsi="仿宋_GB2312" w:eastAsia="方正仿宋_GBK" w:cs="仿宋_GB2312"/>
          <w:sz w:val="32"/>
          <w:lang w:val="en-US" w:eastAsia="zh-CN"/>
        </w:rPr>
        <w:t>68.86</w:t>
      </w:r>
      <w:r>
        <w:rPr>
          <w:rFonts w:hint="eastAsia" w:ascii="方正仿宋_GBK" w:hAnsi="仿宋_GB2312" w:eastAsia="方正仿宋_GBK" w:cs="仿宋_GB2312"/>
          <w:sz w:val="32"/>
        </w:rPr>
        <w:t>万元，主要是</w:t>
      </w:r>
      <w:r>
        <w:rPr>
          <w:rFonts w:hint="eastAsia" w:ascii="方正仿宋_GBK" w:hAnsi="仿宋_GB2312" w:eastAsia="方正仿宋_GBK" w:cs="仿宋_GB2312"/>
          <w:sz w:val="32"/>
          <w:lang w:eastAsia="zh-CN"/>
        </w:rPr>
        <w:t>人员</w:t>
      </w:r>
      <w:r>
        <w:rPr>
          <w:rFonts w:hint="eastAsia" w:ascii="方正仿宋_GBK" w:hAnsi="仿宋_GB2312" w:eastAsia="方正仿宋_GBK" w:cs="仿宋_GB2312"/>
          <w:sz w:val="32"/>
        </w:rPr>
        <w:t>经费</w:t>
      </w:r>
      <w:r>
        <w:rPr>
          <w:rFonts w:hint="eastAsia" w:ascii="方正仿宋_GBK" w:hAnsi="仿宋_GB2312" w:eastAsia="方正仿宋_GBK" w:cs="仿宋_GB2312"/>
          <w:sz w:val="32"/>
          <w:lang w:eastAsia="zh-CN"/>
        </w:rPr>
        <w:t>、工资、社会保障缴费等</w:t>
      </w:r>
      <w:r>
        <w:rPr>
          <w:rFonts w:hint="eastAsia" w:ascii="方正仿宋_GBK" w:hAnsi="仿宋_GB2312" w:eastAsia="方正仿宋_GBK" w:cs="仿宋_GB2312"/>
          <w:sz w:val="32"/>
        </w:rPr>
        <w:t>增加 。</w:t>
      </w:r>
    </w:p>
    <w:p>
      <w:pPr>
        <w:spacing w:line="600" w:lineRule="exact"/>
        <w:ind w:firstLine="640" w:firstLineChars="200"/>
        <w:rPr>
          <w:rFonts w:hint="eastAsia"/>
        </w:rPr>
      </w:pPr>
      <w:r>
        <w:rPr>
          <w:rFonts w:hint="eastAsia" w:ascii="方正楷体_GBK" w:hAnsi="方正楷体_GBK" w:eastAsia="方正楷体_GBK" w:cs="方正楷体_GBK"/>
          <w:sz w:val="32"/>
        </w:rPr>
        <w:t>（二）支出预算</w:t>
      </w:r>
      <w:r>
        <w:rPr>
          <w:rFonts w:hint="eastAsia" w:ascii="方正仿宋_GBK" w:hAnsi="仿宋_GB2312" w:eastAsia="方正仿宋_GBK" w:cs="仿宋_GB2312"/>
          <w:sz w:val="32"/>
        </w:rPr>
        <w:t xml:space="preserve">：2022年年初预算数2023.62 万元，其中：一般公共服务支出预算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万元，教育支出预算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万元，社会保障和就业支出预算 162.83万元，卫生健康支出预算1714.95万元，住房保障支出预算45.77 万元。</w:t>
      </w:r>
      <w:r>
        <w:rPr>
          <w:rFonts w:hint="eastAsia" w:ascii="方正仿宋_GBK" w:hAnsi="仿宋_GB2312" w:eastAsia="方正仿宋_GBK" w:cs="仿宋_GB2312"/>
          <w:sz w:val="32"/>
          <w:lang w:eastAsia="zh-CN"/>
        </w:rPr>
        <w:t>年终结转结余</w:t>
      </w:r>
      <w:r>
        <w:rPr>
          <w:rFonts w:hint="eastAsia" w:ascii="方正仿宋_GBK" w:hAnsi="仿宋_GB2312" w:eastAsia="方正仿宋_GBK" w:cs="仿宋_GB2312"/>
          <w:sz w:val="32"/>
          <w:lang w:val="en-US" w:eastAsia="zh-CN"/>
        </w:rPr>
        <w:t>100.07</w:t>
      </w:r>
      <w:r>
        <w:rPr>
          <w:rFonts w:hint="eastAsia" w:ascii="方正仿宋_GBK" w:hAnsi="仿宋_GB2312" w:eastAsia="方正仿宋_GBK" w:cs="仿宋_GB2312"/>
          <w:sz w:val="32"/>
        </w:rPr>
        <w:t>万</w:t>
      </w:r>
      <w:r>
        <w:rPr>
          <w:rFonts w:hint="eastAsia" w:ascii="方正仿宋_GBK" w:hAnsi="仿宋_GB2312" w:eastAsia="方正仿宋_GBK" w:cs="仿宋_GB2312"/>
          <w:sz w:val="32"/>
          <w:lang w:val="en-US" w:eastAsia="zh-CN"/>
        </w:rPr>
        <w:t>元。</w:t>
      </w:r>
      <w:r>
        <w:rPr>
          <w:rFonts w:hint="eastAsia" w:ascii="方正仿宋_GBK" w:hAnsi="仿宋_GB2312" w:eastAsia="方正仿宋_GBK" w:cs="仿宋_GB2312"/>
          <w:sz w:val="32"/>
        </w:rPr>
        <w:t>支出预算较2021年增加</w:t>
      </w:r>
      <w:r>
        <w:rPr>
          <w:rFonts w:hint="eastAsia" w:ascii="方正仿宋_GBK" w:hAnsi="仿宋_GB2312" w:eastAsia="方正仿宋_GBK" w:cs="仿宋_GB2312"/>
          <w:sz w:val="32"/>
          <w:lang w:val="en-US" w:eastAsia="zh-CN"/>
        </w:rPr>
        <w:t>321.57</w:t>
      </w:r>
      <w:r>
        <w:rPr>
          <w:rFonts w:hint="eastAsia" w:ascii="方正仿宋_GBK" w:hAnsi="仿宋_GB2312" w:eastAsia="方正仿宋_GBK" w:cs="仿宋_GB2312"/>
          <w:sz w:val="32"/>
        </w:rPr>
        <w:t>万元，主要是</w:t>
      </w:r>
      <w:r>
        <w:rPr>
          <w:rFonts w:hint="eastAsia" w:ascii="方正仿宋_GBK" w:hAnsi="仿宋_GB2312" w:eastAsia="方正仿宋_GBK" w:cs="仿宋_GB2312"/>
          <w:sz w:val="32"/>
          <w:lang w:eastAsia="zh-CN"/>
        </w:rPr>
        <w:t>人员增加、岗位晋升、薪级增加、退休人员健康休养费标准增加、医疗业务增加、运行成本增大、</w:t>
      </w:r>
      <w:r>
        <w:rPr>
          <w:rFonts w:hint="eastAsia" w:ascii="方正仿宋_GBK" w:hAnsi="仿宋_GB2312" w:eastAsia="方正仿宋_GBK" w:cs="仿宋_GB2312"/>
          <w:sz w:val="32"/>
        </w:rPr>
        <w:t>基本支出预算</w:t>
      </w:r>
      <w:r>
        <w:rPr>
          <w:rFonts w:hint="eastAsia" w:ascii="方正仿宋_GBK" w:hAnsi="仿宋_GB2312" w:eastAsia="方正仿宋_GBK" w:cs="仿宋_GB2312"/>
          <w:sz w:val="32"/>
          <w:lang w:eastAsia="zh-CN"/>
        </w:rPr>
        <w:t>增大了</w:t>
      </w:r>
      <w:r>
        <w:rPr>
          <w:rFonts w:hint="eastAsia" w:ascii="方正仿宋_GBK" w:hAnsi="仿宋_GB2312" w:eastAsia="方正仿宋_GBK" w:cs="仿宋_GB2312"/>
          <w:sz w:val="32"/>
          <w:lang w:val="en-US" w:eastAsia="zh-CN"/>
        </w:rPr>
        <w:t>100.07</w:t>
      </w:r>
      <w:r>
        <w:rPr>
          <w:rFonts w:hint="eastAsia" w:ascii="方正仿宋_GBK" w:hAnsi="仿宋_GB2312" w:eastAsia="方正仿宋_GBK" w:cs="仿宋_GB2312"/>
          <w:sz w:val="32"/>
        </w:rPr>
        <w:t>万元，项目支出预算增加</w:t>
      </w:r>
      <w:r>
        <w:rPr>
          <w:rFonts w:hint="eastAsia" w:ascii="方正仿宋_GBK" w:hAnsi="仿宋_GB2312" w:eastAsia="方正仿宋_GBK" w:cs="仿宋_GB2312"/>
          <w:sz w:val="32"/>
          <w:lang w:val="en-US" w:eastAsia="zh-CN"/>
        </w:rPr>
        <w:t>2.25</w:t>
      </w:r>
      <w:r>
        <w:rPr>
          <w:rFonts w:hint="eastAsia" w:ascii="方正仿宋_GBK" w:hAnsi="仿宋_GB2312" w:eastAsia="方正仿宋_GBK" w:cs="仿宋_GB2312"/>
          <w:sz w:val="32"/>
        </w:rPr>
        <w:t>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2022年一般公共预算财政拨款收入572.62万元，一般公共预算财政拨款支出572.62万元，比2021年增加</w:t>
      </w:r>
      <w:r>
        <w:rPr>
          <w:rFonts w:hint="eastAsia" w:ascii="方正仿宋_GBK" w:hAnsi="仿宋_GB2312" w:eastAsia="方正仿宋_GBK" w:cs="仿宋_GB2312"/>
          <w:sz w:val="32"/>
          <w:lang w:val="en-US" w:eastAsia="zh-CN"/>
        </w:rPr>
        <w:t>68.86</w:t>
      </w:r>
      <w:r>
        <w:rPr>
          <w:rFonts w:hint="eastAsia" w:ascii="方正仿宋_GBK" w:hAnsi="仿宋_GB2312" w:eastAsia="方正仿宋_GBK" w:cs="仿宋_GB2312"/>
          <w:sz w:val="32"/>
        </w:rPr>
        <w:t>万元。其中：基本支出</w:t>
      </w:r>
      <w:r>
        <w:rPr>
          <w:rFonts w:hint="eastAsia" w:ascii="方正仿宋_GBK" w:hAnsi="仿宋_GB2312" w:eastAsia="方正仿宋_GBK" w:cs="仿宋_GB2312"/>
          <w:sz w:val="32"/>
          <w:lang w:val="en-US" w:eastAsia="zh-CN"/>
        </w:rPr>
        <w:t>569.44</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65.69</w:t>
      </w:r>
      <w:r>
        <w:rPr>
          <w:rFonts w:hint="eastAsia" w:ascii="方正仿宋_GBK" w:hAnsi="仿宋_GB2312" w:eastAsia="方正仿宋_GBK" w:cs="仿宋_GB2312"/>
          <w:sz w:val="32"/>
        </w:rPr>
        <w:t>万元，主要原因是</w:t>
      </w:r>
      <w:r>
        <w:rPr>
          <w:rFonts w:hint="eastAsia" w:ascii="方正仿宋_GBK" w:hAnsi="仿宋_GB2312" w:eastAsia="方正仿宋_GBK" w:cs="仿宋_GB2312"/>
          <w:sz w:val="32"/>
          <w:lang w:eastAsia="zh-CN"/>
        </w:rPr>
        <w:t>人员</w:t>
      </w:r>
      <w:r>
        <w:rPr>
          <w:rFonts w:hint="eastAsia" w:ascii="方正仿宋_GBK" w:hAnsi="仿宋_GB2312" w:eastAsia="方正仿宋_GBK" w:cs="仿宋_GB2312"/>
          <w:sz w:val="32"/>
        </w:rPr>
        <w:t>经费拨款增加等，主要用于保障在职人员工资福利及社会保险缴费，离休人员离休费，退休人员补助等，保障部门正常运转的各项商品服务支出；项目支出</w:t>
      </w:r>
      <w:r>
        <w:rPr>
          <w:rFonts w:hint="eastAsia" w:ascii="方正仿宋_GBK" w:hAnsi="仿宋_GB2312" w:eastAsia="方正仿宋_GBK" w:cs="仿宋_GB2312"/>
          <w:sz w:val="32"/>
          <w:lang w:val="en-US" w:eastAsia="zh-CN"/>
        </w:rPr>
        <w:t>3.18</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2.25</w:t>
      </w:r>
      <w:r>
        <w:rPr>
          <w:rFonts w:hint="eastAsia" w:ascii="方正仿宋_GBK" w:hAnsi="仿宋_GB2312" w:eastAsia="方正仿宋_GBK" w:cs="仿宋_GB2312"/>
          <w:sz w:val="32"/>
        </w:rPr>
        <w:t xml:space="preserve"> 万元，主要原因是</w:t>
      </w:r>
      <w:r>
        <w:rPr>
          <w:rFonts w:hint="eastAsia" w:ascii="方正仿宋_GBK" w:hAnsi="仿宋_GB2312" w:eastAsia="方正仿宋_GBK" w:cs="仿宋_GB2312"/>
          <w:sz w:val="32"/>
          <w:lang w:eastAsia="zh-CN"/>
        </w:rPr>
        <w:t>遗属补助人员增加</w:t>
      </w:r>
      <w:r>
        <w:rPr>
          <w:rFonts w:hint="eastAsia" w:ascii="方正仿宋_GBK" w:hAnsi="仿宋_GB2312" w:eastAsia="方正仿宋_GBK" w:cs="仿宋_GB2312"/>
          <w:sz w:val="32"/>
        </w:rPr>
        <w:t>等。</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重庆市开州区</w:t>
      </w:r>
      <w:r>
        <w:rPr>
          <w:rFonts w:hint="eastAsia" w:ascii="方正仿宋_GBK" w:hAnsi="仿宋_GB2312" w:eastAsia="方正仿宋_GBK" w:cs="仿宋_GB2312"/>
          <w:sz w:val="32"/>
          <w:lang w:val="en-US" w:eastAsia="zh-CN"/>
        </w:rPr>
        <w:t>白鹤街道社区卫生服务中心</w:t>
      </w:r>
      <w:r>
        <w:rPr>
          <w:rFonts w:hint="default" w:ascii="方正仿宋_GBK" w:hAnsi="仿宋_GB2312" w:eastAsia="方正仿宋_GBK" w:cs="仿宋_GB2312"/>
          <w:sz w:val="32"/>
        </w:rPr>
        <w:t>2022</w:t>
      </w:r>
      <w:r>
        <w:rPr>
          <w:rFonts w:hint="eastAsia" w:ascii="方正仿宋_GBK" w:hAnsi="仿宋_GB2312" w:eastAsia="方正仿宋_GBK" w:cs="仿宋_GB2312"/>
          <w:sz w:val="32"/>
        </w:rPr>
        <w:t>年无使用政府性基金预算拨款安排的</w:t>
      </w:r>
      <w:r>
        <w:rPr>
          <w:rFonts w:hint="eastAsia" w:ascii="方正仿宋_GBK" w:hAnsi="仿宋_GB2312" w:eastAsia="方正仿宋_GBK" w:cs="仿宋_GB2312"/>
          <w:sz w:val="32"/>
          <w:lang w:eastAsia="zh-CN"/>
        </w:rPr>
        <w:t>收支</w:t>
      </w:r>
      <w:bookmarkStart w:id="0" w:name="_GoBack"/>
      <w:bookmarkEnd w:id="0"/>
      <w:r>
        <w:rPr>
          <w:rFonts w:hint="eastAsia" w:ascii="方正仿宋_GBK" w:hAnsi="仿宋_GB2312" w:eastAsia="方正仿宋_GBK" w:cs="仿宋_GB2312"/>
          <w:sz w:val="32"/>
        </w:rPr>
        <w:t>。</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00"/>
        <w:rPr>
          <w:rFonts w:hint="default" w:ascii="方正仿宋_GBK" w:hAnsi="仿宋_GB2312" w:eastAsia="方正仿宋_GBK" w:cs="仿宋_GB2312"/>
          <w:sz w:val="32"/>
          <w:lang w:val="en-US" w:eastAsia="zh-CN"/>
        </w:rPr>
      </w:pPr>
      <w:r>
        <w:rPr>
          <w:rFonts w:hint="eastAsia" w:ascii="方正仿宋_GBK" w:hAnsi="仿宋_GB2312" w:eastAsia="方正仿宋_GBK" w:cs="仿宋_GB2312"/>
          <w:sz w:val="32"/>
          <w:lang w:val="en-US" w:eastAsia="zh-CN"/>
        </w:rPr>
        <w:t>我单位属于差额拨款事业单位，财政未保障我单位“三公”经费，故2022年度无“三公”经费预算，</w:t>
      </w:r>
      <w:r>
        <w:rPr>
          <w:rFonts w:hint="eastAsia" w:ascii="方正仿宋_GBK" w:hAnsi="仿宋_GB2312" w:eastAsia="方正仿宋_GBK" w:cs="仿宋_GB2312"/>
          <w:sz w:val="32"/>
        </w:rPr>
        <w:t>其中：因公出国（境）费用0万元；公务接待费0万元；公务用车运行维护费</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万元，公务用车购置费0万元。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 xml:space="preserve">2、政府采购情况。政府采购预算总额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万元：政府采购货物预算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万元；其中一般公共预算拨款政府采购</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万元：政府采购货物预算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万元、政府采购工程预算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2022年项目支出均实行了绩效目标管理，涉及一般公共预算当年财政拨款572.62 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r>
        <w:rPr>
          <w:rFonts w:hint="eastAsia" w:ascii="方正仿宋_GBK" w:hAnsi="仿宋_GB2312" w:eastAsia="方正仿宋_GBK" w:cs="仿宋_GB2312"/>
          <w:color w:val="000000"/>
          <w:sz w:val="32"/>
        </w:rPr>
        <w:t>2021年12月，共有</w:t>
      </w:r>
      <w:r>
        <w:rPr>
          <w:rFonts w:hint="eastAsia" w:ascii="方正仿宋_GBK" w:hAnsi="仿宋_GB2312" w:eastAsia="方正仿宋_GBK" w:cs="仿宋_GB2312"/>
          <w:color w:val="000000"/>
          <w:sz w:val="32"/>
          <w:lang w:val="en-US" w:eastAsia="zh-CN"/>
        </w:rPr>
        <w:t>120救护车</w:t>
      </w:r>
      <w:r>
        <w:rPr>
          <w:rFonts w:hint="eastAsia" w:ascii="方正仿宋_GBK" w:hAnsi="仿宋_GB2312" w:eastAsia="方正仿宋_GBK" w:cs="仿宋_GB2312"/>
          <w:color w:val="000000"/>
          <w:sz w:val="32"/>
        </w:rPr>
        <w:t xml:space="preserve"> </w:t>
      </w:r>
      <w:r>
        <w:rPr>
          <w:rFonts w:hint="eastAsia" w:ascii="方正仿宋_GBK" w:hAnsi="仿宋_GB2312" w:eastAsia="方正仿宋_GBK" w:cs="仿宋_GB2312"/>
          <w:color w:val="000000"/>
          <w:sz w:val="32"/>
          <w:lang w:val="en-US" w:eastAsia="zh-CN"/>
        </w:rPr>
        <w:t>1</w:t>
      </w:r>
      <w:r>
        <w:rPr>
          <w:rFonts w:hint="eastAsia" w:ascii="方正仿宋_GBK" w:hAnsi="仿宋_GB2312" w:eastAsia="方正仿宋_GBK" w:cs="仿宋_GB2312"/>
          <w:color w:val="000000"/>
          <w:sz w:val="32"/>
        </w:rPr>
        <w:t>辆</w:t>
      </w:r>
      <w:r>
        <w:rPr>
          <w:rFonts w:hint="eastAsia" w:ascii="方正仿宋_GBK" w:hAnsi="仿宋_GB2312" w:eastAsia="方正仿宋_GBK" w:cs="仿宋_GB2312"/>
          <w:color w:val="000000"/>
          <w:sz w:val="32"/>
          <w:lang w:val="en-US" w:eastAsia="zh-CN"/>
        </w:rPr>
        <w:t>，</w:t>
      </w:r>
      <w:r>
        <w:rPr>
          <w:rFonts w:hint="eastAsia" w:ascii="方正仿宋_GBK" w:hAnsi="仿宋_GB2312" w:eastAsia="方正仿宋_GBK" w:cs="仿宋_GB2312"/>
          <w:color w:val="000000"/>
          <w:sz w:val="32"/>
        </w:rPr>
        <w:t>其中一般公务用车</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辆、执勤执法用车</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辆。2022年一般公共预算安排购置车辆</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辆，其中一般公务用车</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辆、执勤执法用车</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楷体_GBK" w:hAnsi="方正楷体_GBK" w:eastAsia="方正楷体_GBK" w:cs="方正楷体_GBK"/>
          <w:sz w:val="32"/>
          <w:szCs w:val="32"/>
        </w:rPr>
        <w:t>（一）财政拨款收入</w:t>
      </w:r>
      <w:r>
        <w:rPr>
          <w:rFonts w:hint="eastAsia" w:ascii="方正仿宋_GBK" w:hAnsi="Calibri" w:eastAsia="方正仿宋_GBK"/>
          <w:sz w:val="32"/>
          <w:szCs w:val="32"/>
        </w:rPr>
        <w:t>：指本年度从本级财政部门取得的财政拨款，包括一般公共预算财政拨款和政府性基金预算财政拨款。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楷体_GBK" w:hAnsi="方正楷体_GBK" w:eastAsia="方正楷体_GBK" w:cs="方正楷体_GBK"/>
          <w:sz w:val="32"/>
          <w:szCs w:val="32"/>
        </w:rPr>
        <w:t>（二）其他收入</w:t>
      </w:r>
      <w:r>
        <w:rPr>
          <w:rFonts w:hint="eastAsia" w:ascii="方正仿宋_GBK" w:hAnsi="Calibri" w:eastAsia="方正仿宋_GBK"/>
          <w:sz w:val="32"/>
          <w:szCs w:val="32"/>
        </w:rPr>
        <w:t>：指单位取得的除“财政拨款收入”“事业收入”“经营收入”等以外的收入。</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楷体_GBK" w:hAnsi="方正楷体_GBK" w:eastAsia="方正楷体_GBK" w:cs="方正楷体_GBK"/>
          <w:sz w:val="32"/>
          <w:szCs w:val="32"/>
        </w:rPr>
        <w:t>（三）基本支出</w:t>
      </w:r>
      <w:r>
        <w:rPr>
          <w:rFonts w:hint="eastAsia" w:ascii="方正仿宋_GBK" w:hAnsi="Calibri" w:eastAsia="方正仿宋_GBK"/>
          <w:sz w:val="32"/>
          <w:szCs w:val="32"/>
        </w:rPr>
        <w:t>：指为保障机构正常运转、完成日常工作任务而发生的人员经费和公用经费。</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楷体_GBK" w:hAnsi="方正楷体_GBK" w:eastAsia="方正楷体_GBK" w:cs="方正楷体_GBK"/>
          <w:sz w:val="32"/>
          <w:szCs w:val="32"/>
        </w:rPr>
        <w:t>（四）项目支出</w:t>
      </w:r>
      <w:r>
        <w:rPr>
          <w:rFonts w:hint="eastAsia" w:ascii="方正仿宋_GBK" w:hAnsi="Calibri" w:eastAsia="方正仿宋_GBK"/>
          <w:sz w:val="32"/>
          <w:szCs w:val="32"/>
        </w:rPr>
        <w:t>：指在基本支出之外为完成特定行政任务和事业发展目标所发生的支出。</w:t>
      </w:r>
    </w:p>
    <w:p>
      <w:pPr>
        <w:ind w:firstLine="640" w:firstLineChars="200"/>
        <w:rPr>
          <w:rFonts w:hint="eastAsia" w:ascii="方正仿宋_GBK" w:hAnsi="仿宋_GB2312" w:eastAsia="方正仿宋_GBK" w:cs="仿宋_GB2312"/>
          <w:color w:val="000000"/>
          <w:sz w:val="32"/>
        </w:rPr>
      </w:pPr>
      <w:r>
        <w:rPr>
          <w:rFonts w:hint="eastAsia" w:ascii="方正楷体_GBK" w:hAnsi="方正楷体_GBK" w:eastAsia="方正楷体_GBK" w:cs="方正楷体_GBK"/>
          <w:sz w:val="32"/>
          <w:szCs w:val="32"/>
        </w:rPr>
        <w:t>（五）“三公”经费</w:t>
      </w:r>
      <w:r>
        <w:rPr>
          <w:rFonts w:hint="eastAsia" w:ascii="方正仿宋_GBK" w:hAnsi="Calibri" w:eastAsia="方正仿宋_GBK"/>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0" w:firstLineChars="200"/>
        <w:rPr>
          <w:rFonts w:hint="eastAsia" w:ascii="方正仿宋_GBK" w:hAnsi="仿宋_GB2312" w:eastAsia="方正仿宋_GBK" w:cs="仿宋_GB2312"/>
          <w:b/>
          <w:sz w:val="32"/>
        </w:rPr>
      </w:pPr>
    </w:p>
    <w:p>
      <w:pPr>
        <w:ind w:firstLine="640" w:firstLineChars="200"/>
        <w:rPr>
          <w:rFonts w:hint="eastAsia" w:ascii="方正仿宋_GBK" w:hAnsi="仿宋_GB2312" w:eastAsia="方正仿宋_GBK" w:cs="仿宋_GB2312"/>
          <w:b/>
          <w:sz w:val="32"/>
        </w:rPr>
      </w:pPr>
      <w:r>
        <w:rPr>
          <w:rFonts w:hint="eastAsia" w:ascii="方正仿宋_GBK" w:hAnsi="仿宋_GB2312" w:eastAsia="方正仿宋_GBK" w:cs="仿宋_GB2312"/>
          <w:b/>
          <w:sz w:val="32"/>
        </w:rPr>
        <w:t>部门预算公开联系人：</w:t>
      </w:r>
      <w:r>
        <w:rPr>
          <w:rFonts w:hint="eastAsia" w:ascii="方正仿宋_GBK" w:hAnsi="仿宋_GB2312" w:eastAsia="方正仿宋_GBK" w:cs="仿宋_GB2312"/>
          <w:b/>
          <w:sz w:val="32"/>
          <w:lang w:eastAsia="zh-CN"/>
        </w:rPr>
        <w:t>杨显胜</w:t>
      </w:r>
      <w:r>
        <w:rPr>
          <w:rFonts w:hint="eastAsia" w:ascii="方正仿宋_GBK" w:hAnsi="仿宋_GB2312" w:eastAsia="方正仿宋_GBK" w:cs="仿宋_GB2312"/>
          <w:b/>
          <w:sz w:val="32"/>
        </w:rPr>
        <w:t xml:space="preserve">  　</w:t>
      </w:r>
    </w:p>
    <w:p>
      <w:pPr>
        <w:ind w:firstLine="640" w:firstLineChars="200"/>
        <w:rPr>
          <w:rFonts w:hint="eastAsia" w:ascii="仿宋_GB2312" w:hAnsi="仿宋_GB2312" w:eastAsia="仿宋_GB2312" w:cs="仿宋_GB2312"/>
          <w:b/>
          <w:sz w:val="32"/>
        </w:rPr>
      </w:pPr>
      <w:r>
        <w:rPr>
          <w:rFonts w:hint="eastAsia" w:ascii="方正仿宋_GBK" w:hAnsi="仿宋_GB2312" w:eastAsia="方正仿宋_GBK" w:cs="仿宋_GB2312"/>
          <w:b/>
          <w:sz w:val="32"/>
        </w:rPr>
        <w:t>联系方式：</w:t>
      </w:r>
      <w:r>
        <w:rPr>
          <w:rFonts w:hint="eastAsia" w:ascii="方正仿宋_GBK" w:hAnsi="Calibri" w:eastAsia="方正仿宋_GBK"/>
          <w:b/>
          <w:sz w:val="32"/>
        </w:rPr>
        <w:t>023-</w:t>
      </w:r>
      <w:r>
        <w:rPr>
          <w:rFonts w:hint="eastAsia" w:ascii="方正仿宋_GBK" w:hAnsi="Calibri" w:eastAsia="方正仿宋_GBK"/>
          <w:b/>
          <w:sz w:val="32"/>
          <w:lang w:val="en-US" w:eastAsia="zh-CN"/>
        </w:rPr>
        <w:t>52202379</w:t>
      </w:r>
    </w:p>
    <w:p>
      <w:pPr>
        <w:spacing w:line="620" w:lineRule="exact"/>
        <w:ind w:firstLine="2880" w:firstLineChars="900"/>
        <w:rPr>
          <w:rFonts w:hint="eastAsia" w:ascii="方正仿宋_GBK" w:hAnsi="Calibri" w:eastAsia="方正仿宋_GBK"/>
          <w:sz w:val="32"/>
          <w:szCs w:val="32"/>
        </w:rPr>
      </w:pPr>
    </w:p>
    <w:p>
      <w:pPr>
        <w:spacing w:line="630" w:lineRule="exact"/>
        <w:ind w:firstLine="420" w:firstLineChars="200"/>
        <w:rPr>
          <w:rFonts w:hint="eastAsia"/>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D4651"/>
    <w:rsid w:val="018C4030"/>
    <w:rsid w:val="085C3203"/>
    <w:rsid w:val="0B7835D1"/>
    <w:rsid w:val="0C0A7ABF"/>
    <w:rsid w:val="0C652052"/>
    <w:rsid w:val="166C0B57"/>
    <w:rsid w:val="1849420F"/>
    <w:rsid w:val="19673916"/>
    <w:rsid w:val="19EC4A42"/>
    <w:rsid w:val="1A96630B"/>
    <w:rsid w:val="1BCB6238"/>
    <w:rsid w:val="1C64756A"/>
    <w:rsid w:val="1E093DF8"/>
    <w:rsid w:val="28076393"/>
    <w:rsid w:val="2F7155DF"/>
    <w:rsid w:val="32495C16"/>
    <w:rsid w:val="32F42300"/>
    <w:rsid w:val="332A00CD"/>
    <w:rsid w:val="36372854"/>
    <w:rsid w:val="3B3F39D5"/>
    <w:rsid w:val="3EE7715F"/>
    <w:rsid w:val="412F10C8"/>
    <w:rsid w:val="454C5363"/>
    <w:rsid w:val="471D4904"/>
    <w:rsid w:val="5AEB447E"/>
    <w:rsid w:val="65BF12C6"/>
    <w:rsid w:val="68527151"/>
    <w:rsid w:val="6864301F"/>
    <w:rsid w:val="699E5515"/>
    <w:rsid w:val="69A531B3"/>
    <w:rsid w:val="6B64547F"/>
    <w:rsid w:val="758D16B5"/>
    <w:rsid w:val="77275737"/>
    <w:rsid w:val="77AA7126"/>
    <w:rsid w:val="77DB5310"/>
    <w:rsid w:val="77E93076"/>
    <w:rsid w:val="781953F4"/>
    <w:rsid w:val="793F3976"/>
    <w:rsid w:val="7A644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customStyle="1" w:styleId="3">
    <w:name w:val="索引 51"/>
    <w:basedOn w:val="1"/>
    <w:next w:val="1"/>
    <w:qFormat/>
    <w:uiPriority w:val="0"/>
    <w:pPr>
      <w:ind w:left="1680"/>
    </w:p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Office_11.8.6.11546_F1E327BC-269C-435d-A152-05C5408002CA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2022-02-10T02:39:00Z</dcterms:created>
  <dc:creator>Administrator</dc:creator>
  <cp:lastModifiedBy>Administrator</cp:lastModifiedBy>
  <dcterms:modified xsi:type="dcterms:W3CDTF">2023-09-21T03:33:26Z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2052-11.8.6.11546</vt:lpwstr>
  </property>
  <property fmtid="{D5CDD505-2E9C-101B-9397-08002B2CF9AE}" pid="3" name="ICV">
    <vt:lpwstr>79D8F15EB2EC4654A3ACD817AF23B9DE</vt:lpwstr>
  </property>
</Properties>
</file>