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_GBK" w:hAnsi="华文中宋" w:eastAsia="方正小标宋_GBK" w:cs="华文中宋"/>
          <w:sz w:val="44"/>
          <w:szCs w:val="44"/>
        </w:rPr>
      </w:pPr>
      <w:r>
        <w:rPr>
          <w:rFonts w:hint="eastAsia" w:ascii="方正小标宋_GBK" w:hAnsi="华文中宋" w:eastAsia="方正小标宋_GBK" w:cs="华文中宋"/>
          <w:sz w:val="44"/>
          <w:szCs w:val="44"/>
          <w:lang w:eastAsia="zh-CN"/>
        </w:rPr>
        <w:t>重庆市开州区文峰街道社区卫生服务中心</w:t>
      </w:r>
      <w:r>
        <w:rPr>
          <w:rFonts w:hint="eastAsia" w:ascii="方正小标宋_GBK" w:hAnsi="华文中宋" w:eastAsia="方正小标宋_GBK" w:cs="华文中宋"/>
          <w:sz w:val="44"/>
          <w:szCs w:val="44"/>
        </w:rPr>
        <w:t>2022年部门预算情况说明</w:t>
      </w:r>
    </w:p>
    <w:p>
      <w:pPr>
        <w:spacing w:line="600" w:lineRule="exact"/>
        <w:ind w:firstLine="880" w:firstLineChars="200"/>
        <w:jc w:val="center"/>
        <w:rPr>
          <w:rFonts w:hint="eastAsia" w:ascii="华文中宋" w:hAnsi="华文中宋" w:eastAsia="华文中宋" w:cs="华文中宋"/>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黑体" w:eastAsia="方正黑体_GBK" w:cs="仿宋_GB2312"/>
          <w:sz w:val="32"/>
        </w:rPr>
      </w:pPr>
      <w:r>
        <w:rPr>
          <w:rFonts w:hint="eastAsia" w:ascii="方正黑体_GBK" w:hAnsi="黑体" w:eastAsia="方正黑体_GBK" w:cs="仿宋_GB2312"/>
          <w:sz w:val="32"/>
        </w:rPr>
        <w:t>一、单位基本情况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方正仿宋_GBK" w:hAnsi="方正仿宋_GBK" w:eastAsia="方正仿宋_GBK" w:cs="方正仿宋_GBK"/>
          <w:sz w:val="32"/>
          <w:szCs w:val="32"/>
          <w:lang w:val="en-US" w:eastAsia="zh-CN"/>
        </w:rPr>
      </w:pPr>
      <w:r>
        <w:rPr>
          <w:rFonts w:hint="eastAsia" w:ascii="方正仿宋_GBK" w:hAnsi="仿宋_GB2312" w:eastAsia="方正仿宋_GBK" w:cs="仿宋_GB2312"/>
          <w:sz w:val="32"/>
        </w:rPr>
        <w:t>（一）</w:t>
      </w:r>
      <w:r>
        <w:rPr>
          <w:rFonts w:hint="eastAsia" w:ascii="方正仿宋_GBK" w:hAnsi="方正仿宋_GBK" w:eastAsia="方正仿宋_GBK" w:cs="方正仿宋_GBK"/>
          <w:sz w:val="32"/>
          <w:szCs w:val="32"/>
          <w:lang w:val="en-US" w:eastAsia="zh-CN"/>
        </w:rPr>
        <w:t>职能职责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为人民身体健康提供基本医疗，公共卫生以及医养结合服务，为计划生育提供技术服务。常见病、多发病诊治与护理，卫生防疫、保健与健康教育；贯彻落实医养结合政策措施，开展医疗服务与养老服务相结合的有关工作，负责老年人医疗照护、慢性病康复、心理健康咨询与养老关怀服务。</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机构设置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本中心下设有办公室、财务室、公共卫生科、肛肠科、住院部、护理组、门诊部、医保办公室、药房、收费室、理疗室、放射科、B超心电图室、检验室、信息科、后勤保障科等16个科室。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jc w:val="left"/>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从预算单位构成来看，本中心是二级预算单位，主管部门为重庆市开州区卫生健康委员会。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黑体" w:eastAsia="方正仿宋_GBK" w:cs="仿宋_GB2312"/>
          <w:sz w:val="32"/>
        </w:rPr>
      </w:pPr>
      <w:r>
        <w:rPr>
          <w:rFonts w:hint="eastAsia" w:ascii="方正黑体_GBK" w:hAnsi="黑体" w:eastAsia="方正黑体_GBK" w:cs="仿宋_GB2312"/>
          <w:sz w:val="32"/>
        </w:rPr>
        <w:t>二、部门收支总体情况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仿宋_GB2312" w:eastAsia="方正仿宋_GBK" w:cs="仿宋_GB2312"/>
          <w:sz w:val="32"/>
        </w:rPr>
      </w:pPr>
      <w:r>
        <w:rPr>
          <w:rFonts w:hint="eastAsia" w:ascii="方正仿宋_GBK" w:hAnsi="仿宋_GB2312" w:eastAsia="方正仿宋_GBK" w:cs="仿宋_GB2312"/>
          <w:sz w:val="32"/>
        </w:rPr>
        <w:t>（一）收入预算：2022年年初预算数</w:t>
      </w:r>
      <w:r>
        <w:rPr>
          <w:rFonts w:hint="eastAsia" w:ascii="方正仿宋_GBK" w:hAnsi="仿宋_GB2312" w:eastAsia="方正仿宋_GBK" w:cs="仿宋_GB2312"/>
          <w:sz w:val="32"/>
          <w:lang w:val="en-US" w:eastAsia="zh-CN"/>
        </w:rPr>
        <w:t>3110.39</w:t>
      </w:r>
      <w:r>
        <w:rPr>
          <w:rFonts w:hint="eastAsia" w:ascii="方正仿宋_GBK" w:hAnsi="仿宋_GB2312" w:eastAsia="方正仿宋_GBK" w:cs="仿宋_GB2312"/>
          <w:sz w:val="32"/>
        </w:rPr>
        <w:t>万元，其中：一般公共预算拨款</w:t>
      </w:r>
      <w:r>
        <w:rPr>
          <w:rFonts w:hint="eastAsia" w:ascii="方正仿宋_GBK" w:hAnsi="仿宋_GB2312" w:eastAsia="方正仿宋_GBK" w:cs="仿宋_GB2312"/>
          <w:sz w:val="32"/>
          <w:lang w:val="en-US" w:eastAsia="zh-CN"/>
        </w:rPr>
        <w:t>760.39</w:t>
      </w:r>
      <w:r>
        <w:rPr>
          <w:rFonts w:hint="eastAsia" w:ascii="方正仿宋_GBK" w:hAnsi="仿宋_GB2312" w:eastAsia="方正仿宋_GBK" w:cs="仿宋_GB2312"/>
          <w:sz w:val="32"/>
        </w:rPr>
        <w:t>万元，政府性基金预算拨款</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万元，国有资本经营预算收入</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万元，事业收入</w:t>
      </w:r>
      <w:r>
        <w:rPr>
          <w:rFonts w:hint="eastAsia" w:ascii="方正仿宋_GBK" w:hAnsi="仿宋_GB2312" w:eastAsia="方正仿宋_GBK" w:cs="仿宋_GB2312"/>
          <w:sz w:val="32"/>
          <w:lang w:val="en-US" w:eastAsia="zh-CN"/>
        </w:rPr>
        <w:t>2350</w:t>
      </w:r>
      <w:r>
        <w:rPr>
          <w:rFonts w:hint="eastAsia" w:ascii="方正仿宋_GBK" w:hAnsi="仿宋_GB2312" w:eastAsia="方正仿宋_GBK" w:cs="仿宋_GB2312"/>
          <w:sz w:val="32"/>
        </w:rPr>
        <w:t>万元，事业单位经营收入</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万元，其他收入</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万元。收入较2021年增加</w:t>
      </w:r>
      <w:r>
        <w:rPr>
          <w:rFonts w:hint="eastAsia" w:ascii="方正仿宋_GBK" w:hAnsi="仿宋_GB2312" w:eastAsia="方正仿宋_GBK" w:cs="仿宋_GB2312"/>
          <w:sz w:val="32"/>
          <w:lang w:val="en-US" w:eastAsia="zh-CN"/>
        </w:rPr>
        <w:t>907.89</w:t>
      </w:r>
      <w:r>
        <w:rPr>
          <w:rFonts w:hint="eastAsia" w:ascii="方正仿宋_GBK" w:hAnsi="仿宋_GB2312" w:eastAsia="方正仿宋_GBK" w:cs="仿宋_GB2312"/>
          <w:sz w:val="32"/>
        </w:rPr>
        <w:t>万元，主要是</w:t>
      </w:r>
      <w:r>
        <w:rPr>
          <w:rFonts w:hint="eastAsia" w:ascii="方正仿宋_GBK" w:hAnsi="仿宋_GB2312" w:eastAsia="方正仿宋_GBK" w:cs="仿宋_GB2312"/>
          <w:sz w:val="32"/>
          <w:lang w:eastAsia="zh-CN"/>
        </w:rPr>
        <w:t>一般公共预算</w:t>
      </w:r>
      <w:r>
        <w:rPr>
          <w:rFonts w:hint="eastAsia" w:ascii="方正仿宋_GBK" w:hAnsi="仿宋_GB2312" w:eastAsia="方正仿宋_GBK" w:cs="仿宋_GB2312"/>
          <w:sz w:val="32"/>
        </w:rPr>
        <w:t>经费拨款增加</w:t>
      </w:r>
      <w:r>
        <w:rPr>
          <w:rFonts w:hint="eastAsia" w:ascii="方正仿宋_GBK" w:hAnsi="仿宋_GB2312" w:eastAsia="方正仿宋_GBK" w:cs="仿宋_GB2312"/>
          <w:sz w:val="32"/>
          <w:lang w:val="en-US" w:eastAsia="zh-CN"/>
        </w:rPr>
        <w:t>32.9</w:t>
      </w:r>
      <w:r>
        <w:rPr>
          <w:rFonts w:hint="eastAsia" w:ascii="方正仿宋_GBK" w:hAnsi="仿宋_GB2312" w:eastAsia="方正仿宋_GBK" w:cs="仿宋_GB2312"/>
          <w:sz w:val="32"/>
        </w:rPr>
        <w:t>万元</w:t>
      </w:r>
      <w:r>
        <w:rPr>
          <w:rFonts w:hint="eastAsia" w:ascii="方正仿宋_GBK" w:hAnsi="仿宋_GB2312" w:eastAsia="方正仿宋_GBK" w:cs="仿宋_GB2312"/>
          <w:sz w:val="32"/>
          <w:lang w:eastAsia="zh-CN"/>
        </w:rPr>
        <w:t>及事业收入增加</w:t>
      </w:r>
      <w:r>
        <w:rPr>
          <w:rFonts w:hint="eastAsia" w:ascii="方正仿宋_GBK" w:hAnsi="仿宋_GB2312" w:eastAsia="方正仿宋_GBK" w:cs="仿宋_GB2312"/>
          <w:sz w:val="32"/>
          <w:lang w:val="en-US" w:eastAsia="zh-CN"/>
        </w:rPr>
        <w:t>873.9万元</w:t>
      </w:r>
      <w:r>
        <w:rPr>
          <w:rFonts w:hint="eastAsia" w:ascii="方正仿宋_GBK" w:hAnsi="仿宋_GB2312" w:eastAsia="方正仿宋_GBK" w:cs="仿宋_GB2312"/>
          <w:sz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仿宋_GB2312" w:eastAsia="方正仿宋_GBK" w:cs="仿宋_GB2312"/>
          <w:sz w:val="32"/>
        </w:rPr>
      </w:pPr>
      <w:r>
        <w:rPr>
          <w:rFonts w:hint="eastAsia" w:ascii="方正仿宋_GBK" w:hAnsi="仿宋_GB2312" w:eastAsia="方正仿宋_GBK" w:cs="仿宋_GB2312"/>
          <w:sz w:val="32"/>
        </w:rPr>
        <w:t>（二）支出预算：2022年年初预算数</w:t>
      </w:r>
      <w:r>
        <w:rPr>
          <w:rFonts w:hint="eastAsia" w:ascii="方正仿宋_GBK" w:hAnsi="仿宋_GB2312" w:eastAsia="方正仿宋_GBK" w:cs="仿宋_GB2312"/>
          <w:sz w:val="32"/>
          <w:lang w:val="en-US" w:eastAsia="zh-CN"/>
        </w:rPr>
        <w:t>2859.36</w:t>
      </w:r>
      <w:r>
        <w:rPr>
          <w:rFonts w:hint="eastAsia" w:ascii="方正仿宋_GBK" w:hAnsi="仿宋_GB2312" w:eastAsia="方正仿宋_GBK" w:cs="仿宋_GB2312"/>
          <w:sz w:val="32"/>
        </w:rPr>
        <w:t>万元，其中：一般公共服务支出预算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万元，教育支出预算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万元，社会保障和就业支出预算</w:t>
      </w:r>
      <w:r>
        <w:rPr>
          <w:rFonts w:hint="eastAsia" w:ascii="方正仿宋_GBK" w:hAnsi="仿宋_GB2312" w:eastAsia="方正仿宋_GBK" w:cs="仿宋_GB2312"/>
          <w:sz w:val="32"/>
          <w:lang w:val="en-US" w:eastAsia="zh-CN"/>
        </w:rPr>
        <w:t>244.05</w:t>
      </w:r>
      <w:r>
        <w:rPr>
          <w:rFonts w:hint="eastAsia" w:ascii="方正仿宋_GBK" w:hAnsi="仿宋_GB2312" w:eastAsia="方正仿宋_GBK" w:cs="仿宋_GB2312"/>
          <w:sz w:val="32"/>
        </w:rPr>
        <w:t xml:space="preserve">万元，卫生健康支出预算 </w:t>
      </w:r>
      <w:r>
        <w:rPr>
          <w:rFonts w:hint="eastAsia" w:ascii="方正仿宋_GBK" w:hAnsi="仿宋_GB2312" w:eastAsia="方正仿宋_GBK" w:cs="仿宋_GB2312"/>
          <w:sz w:val="32"/>
          <w:lang w:val="en-US" w:eastAsia="zh-CN"/>
        </w:rPr>
        <w:t>2558.83</w:t>
      </w:r>
      <w:r>
        <w:rPr>
          <w:rFonts w:hint="eastAsia" w:ascii="方正仿宋_GBK" w:hAnsi="仿宋_GB2312" w:eastAsia="方正仿宋_GBK" w:cs="仿宋_GB2312"/>
          <w:sz w:val="32"/>
        </w:rPr>
        <w:t>万元，住房保障支出预算</w:t>
      </w:r>
      <w:r>
        <w:rPr>
          <w:rFonts w:hint="eastAsia" w:ascii="方正仿宋_GBK" w:hAnsi="仿宋_GB2312" w:eastAsia="方正仿宋_GBK" w:cs="仿宋_GB2312"/>
          <w:sz w:val="32"/>
          <w:lang w:val="en-US" w:eastAsia="zh-CN"/>
        </w:rPr>
        <w:t>56.48</w:t>
      </w:r>
      <w:r>
        <w:rPr>
          <w:rFonts w:hint="eastAsia" w:ascii="方正仿宋_GBK" w:hAnsi="仿宋_GB2312" w:eastAsia="方正仿宋_GBK" w:cs="仿宋_GB2312"/>
          <w:sz w:val="32"/>
        </w:rPr>
        <w:t>万元。支出预算较2021年增加</w:t>
      </w:r>
      <w:r>
        <w:rPr>
          <w:rFonts w:hint="eastAsia" w:ascii="方正仿宋_GBK" w:hAnsi="仿宋_GB2312" w:eastAsia="方正仿宋_GBK" w:cs="仿宋_GB2312"/>
          <w:sz w:val="32"/>
          <w:lang w:val="en-US" w:eastAsia="zh-CN"/>
        </w:rPr>
        <w:t>656.86</w:t>
      </w:r>
      <w:r>
        <w:rPr>
          <w:rFonts w:hint="eastAsia" w:ascii="方正仿宋_GBK" w:hAnsi="仿宋_GB2312" w:eastAsia="方正仿宋_GBK" w:cs="仿宋_GB2312"/>
          <w:sz w:val="32"/>
        </w:rPr>
        <w:t>万元，主要是基本支出预算增加</w:t>
      </w:r>
      <w:r>
        <w:rPr>
          <w:rFonts w:hint="eastAsia" w:ascii="方正仿宋_GBK" w:hAnsi="仿宋_GB2312" w:eastAsia="方正仿宋_GBK" w:cs="仿宋_GB2312"/>
          <w:sz w:val="32"/>
          <w:lang w:val="en-US" w:eastAsia="zh-CN"/>
        </w:rPr>
        <w:t>656.86</w:t>
      </w:r>
      <w:r>
        <w:rPr>
          <w:rFonts w:hint="eastAsia" w:ascii="方正仿宋_GBK" w:hAnsi="仿宋_GB2312" w:eastAsia="方正仿宋_GBK" w:cs="仿宋_GB2312"/>
          <w:sz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黑体" w:eastAsia="方正黑体_GBK" w:cs="仿宋_GB2312"/>
          <w:sz w:val="32"/>
        </w:rPr>
      </w:pPr>
      <w:r>
        <w:rPr>
          <w:rFonts w:hint="eastAsia" w:ascii="方正黑体_GBK" w:hAnsi="黑体" w:eastAsia="方正黑体_GBK" w:cs="仿宋_GB2312"/>
          <w:sz w:val="32"/>
        </w:rPr>
        <w:t>三、部门预算情况说明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仿宋_GB2312" w:eastAsia="方正仿宋_GBK" w:cs="仿宋_GB2312"/>
          <w:sz w:val="32"/>
        </w:rPr>
      </w:pPr>
      <w:r>
        <w:rPr>
          <w:rFonts w:hint="eastAsia" w:ascii="方正仿宋_GBK" w:hAnsi="仿宋_GB2312" w:eastAsia="方正仿宋_GBK" w:cs="仿宋_GB2312"/>
          <w:sz w:val="32"/>
        </w:rPr>
        <w:t>2022年一般公共预算财政拨款收入</w:t>
      </w:r>
      <w:r>
        <w:rPr>
          <w:rFonts w:hint="eastAsia" w:ascii="方正仿宋_GBK" w:hAnsi="仿宋_GB2312" w:eastAsia="方正仿宋_GBK" w:cs="仿宋_GB2312"/>
          <w:sz w:val="32"/>
          <w:lang w:val="en-US" w:eastAsia="zh-CN"/>
        </w:rPr>
        <w:t>760.39</w:t>
      </w:r>
      <w:r>
        <w:rPr>
          <w:rFonts w:hint="eastAsia" w:ascii="方正仿宋_GBK" w:hAnsi="仿宋_GB2312" w:eastAsia="方正仿宋_GBK" w:cs="仿宋_GB2312"/>
          <w:sz w:val="32"/>
        </w:rPr>
        <w:t>万元，一般公共预算财政拨款支出</w:t>
      </w:r>
      <w:r>
        <w:rPr>
          <w:rFonts w:hint="eastAsia" w:ascii="方正仿宋_GBK" w:hAnsi="仿宋_GB2312" w:eastAsia="方正仿宋_GBK" w:cs="仿宋_GB2312"/>
          <w:sz w:val="32"/>
          <w:lang w:val="en-US" w:eastAsia="zh-CN"/>
        </w:rPr>
        <w:t>760.39</w:t>
      </w:r>
      <w:r>
        <w:rPr>
          <w:rFonts w:hint="eastAsia" w:ascii="方正仿宋_GBK" w:hAnsi="仿宋_GB2312" w:eastAsia="方正仿宋_GBK" w:cs="仿宋_GB2312"/>
          <w:sz w:val="32"/>
        </w:rPr>
        <w:t>万元，比2021年增加</w:t>
      </w:r>
      <w:r>
        <w:rPr>
          <w:rFonts w:hint="eastAsia" w:ascii="方正仿宋_GBK" w:hAnsi="仿宋_GB2312" w:eastAsia="方正仿宋_GBK" w:cs="仿宋_GB2312"/>
          <w:sz w:val="32"/>
          <w:lang w:val="en-US" w:eastAsia="zh-CN"/>
        </w:rPr>
        <w:t>32.99</w:t>
      </w:r>
      <w:r>
        <w:rPr>
          <w:rFonts w:hint="eastAsia" w:ascii="方正仿宋_GBK" w:hAnsi="仿宋_GB2312" w:eastAsia="方正仿宋_GBK" w:cs="仿宋_GB2312"/>
          <w:sz w:val="32"/>
        </w:rPr>
        <w:t>万元。其中：基本支出</w:t>
      </w:r>
      <w:r>
        <w:rPr>
          <w:rFonts w:hint="eastAsia" w:ascii="方正仿宋_GBK" w:hAnsi="仿宋_GB2312" w:eastAsia="方正仿宋_GBK" w:cs="仿宋_GB2312"/>
          <w:sz w:val="32"/>
          <w:lang w:val="en-US" w:eastAsia="zh-CN"/>
        </w:rPr>
        <w:t>758.87</w:t>
      </w:r>
      <w:r>
        <w:rPr>
          <w:rFonts w:hint="eastAsia" w:ascii="方正仿宋_GBK" w:hAnsi="仿宋_GB2312" w:eastAsia="方正仿宋_GBK" w:cs="仿宋_GB2312"/>
          <w:sz w:val="32"/>
        </w:rPr>
        <w:t>万元，比2021年增加</w:t>
      </w:r>
      <w:r>
        <w:rPr>
          <w:rFonts w:hint="eastAsia" w:ascii="方正仿宋_GBK" w:hAnsi="仿宋_GB2312" w:eastAsia="方正仿宋_GBK" w:cs="仿宋_GB2312"/>
          <w:sz w:val="32"/>
          <w:lang w:val="en-US" w:eastAsia="zh-CN"/>
        </w:rPr>
        <w:t>32.93</w:t>
      </w:r>
      <w:r>
        <w:rPr>
          <w:rFonts w:hint="eastAsia" w:ascii="方正仿宋_GBK" w:hAnsi="仿宋_GB2312" w:eastAsia="方正仿宋_GBK" w:cs="仿宋_GB2312"/>
          <w:sz w:val="32"/>
        </w:rPr>
        <w:t>万元，主要原因是</w:t>
      </w:r>
      <w:r>
        <w:rPr>
          <w:rFonts w:hint="eastAsia" w:ascii="方正仿宋_GBK" w:hAnsi="仿宋_GB2312" w:eastAsia="方正仿宋_GBK" w:cs="仿宋_GB2312"/>
          <w:sz w:val="32"/>
          <w:lang w:eastAsia="zh-CN"/>
        </w:rPr>
        <w:t>人员经费较</w:t>
      </w:r>
      <w:r>
        <w:rPr>
          <w:rFonts w:hint="eastAsia" w:ascii="方正仿宋_GBK" w:hAnsi="仿宋_GB2312" w:eastAsia="方正仿宋_GBK" w:cs="仿宋_GB2312"/>
          <w:sz w:val="32"/>
          <w:lang w:val="en-US" w:eastAsia="zh-CN"/>
        </w:rPr>
        <w:t>2021年增加31.4万元</w:t>
      </w:r>
      <w:r>
        <w:rPr>
          <w:rFonts w:hint="eastAsia" w:ascii="方正仿宋_GBK" w:hAnsi="仿宋_GB2312" w:eastAsia="方正仿宋_GBK" w:cs="仿宋_GB2312"/>
          <w:sz w:val="32"/>
        </w:rPr>
        <w:t>等，主要用于保障在职人员工资福利及社会保险缴费，</w:t>
      </w:r>
      <w:r>
        <w:rPr>
          <w:rFonts w:hint="eastAsia" w:ascii="方正仿宋_GBK" w:hAnsi="仿宋_GB2312" w:eastAsia="方正仿宋_GBK" w:cs="仿宋_GB2312"/>
          <w:sz w:val="32"/>
          <w:lang w:eastAsia="zh-CN"/>
        </w:rPr>
        <w:t>其中</w:t>
      </w:r>
      <w:r>
        <w:rPr>
          <w:rFonts w:hint="eastAsia" w:ascii="方正仿宋_GBK" w:hAnsi="仿宋_GB2312" w:eastAsia="方正仿宋_GBK" w:cs="仿宋_GB2312"/>
          <w:sz w:val="32"/>
        </w:rPr>
        <w:t>离休人员离休费，</w:t>
      </w:r>
      <w:r>
        <w:rPr>
          <w:rFonts w:hint="eastAsia" w:ascii="方正仿宋_GBK" w:hAnsi="仿宋_GB2312" w:eastAsia="方正仿宋_GBK" w:cs="仿宋_GB2312"/>
          <w:sz w:val="32"/>
          <w:lang w:eastAsia="zh-CN"/>
        </w:rPr>
        <w:t>其中退休人员的健康休养费</w:t>
      </w:r>
      <w:r>
        <w:rPr>
          <w:rFonts w:hint="eastAsia" w:ascii="方正仿宋_GBK" w:hAnsi="仿宋_GB2312" w:eastAsia="方正仿宋_GBK" w:cs="仿宋_GB2312"/>
          <w:sz w:val="32"/>
          <w:lang w:val="en-US" w:eastAsia="zh-CN"/>
        </w:rPr>
        <w:t>较</w:t>
      </w:r>
      <w:bookmarkStart w:id="0" w:name="_GoBack"/>
      <w:bookmarkEnd w:id="0"/>
      <w:r>
        <w:rPr>
          <w:rFonts w:hint="eastAsia" w:ascii="方正仿宋_GBK" w:hAnsi="仿宋_GB2312" w:eastAsia="方正仿宋_GBK" w:cs="仿宋_GB2312"/>
          <w:sz w:val="32"/>
          <w:lang w:val="en-US" w:eastAsia="zh-CN"/>
        </w:rPr>
        <w:t>2021年增加17.1万元</w:t>
      </w:r>
      <w:r>
        <w:rPr>
          <w:rFonts w:hint="eastAsia" w:ascii="方正仿宋_GBK" w:hAnsi="仿宋_GB2312" w:eastAsia="方正仿宋_GBK" w:cs="仿宋_GB2312"/>
          <w:sz w:val="32"/>
        </w:rPr>
        <w:t>，</w:t>
      </w:r>
      <w:r>
        <w:rPr>
          <w:rFonts w:hint="eastAsia" w:ascii="方正仿宋_GBK" w:hAnsi="仿宋_GB2312" w:eastAsia="方正仿宋_GBK" w:cs="仿宋_GB2312"/>
          <w:sz w:val="32"/>
          <w:lang w:eastAsia="zh-CN"/>
        </w:rPr>
        <w:t>及</w:t>
      </w:r>
      <w:r>
        <w:rPr>
          <w:rFonts w:hint="eastAsia" w:ascii="方正仿宋_GBK" w:hAnsi="仿宋_GB2312" w:eastAsia="方正仿宋_GBK" w:cs="仿宋_GB2312"/>
          <w:sz w:val="32"/>
        </w:rPr>
        <w:t>保障部门正常运转的各项商品服务支出；项目支出</w:t>
      </w:r>
      <w:r>
        <w:rPr>
          <w:rFonts w:hint="eastAsia" w:ascii="方正仿宋_GBK" w:hAnsi="仿宋_GB2312" w:eastAsia="方正仿宋_GBK" w:cs="仿宋_GB2312"/>
          <w:sz w:val="32"/>
          <w:lang w:val="en-US" w:eastAsia="zh-CN"/>
        </w:rPr>
        <w:t>1.52</w:t>
      </w:r>
      <w:r>
        <w:rPr>
          <w:rFonts w:hint="eastAsia" w:ascii="方正仿宋_GBK" w:hAnsi="仿宋_GB2312" w:eastAsia="方正仿宋_GBK" w:cs="仿宋_GB2312"/>
          <w:sz w:val="32"/>
        </w:rPr>
        <w:t xml:space="preserve">万元，比2021年减少 </w:t>
      </w:r>
      <w:r>
        <w:rPr>
          <w:rFonts w:hint="eastAsia" w:ascii="方正仿宋_GBK" w:hAnsi="仿宋_GB2312" w:eastAsia="方正仿宋_GBK" w:cs="仿宋_GB2312"/>
          <w:sz w:val="32"/>
          <w:lang w:val="en-US" w:eastAsia="zh-CN"/>
        </w:rPr>
        <w:t>0.1</w:t>
      </w:r>
      <w:r>
        <w:rPr>
          <w:rFonts w:hint="eastAsia" w:ascii="方正仿宋_GBK" w:hAnsi="仿宋_GB2312" w:eastAsia="方正仿宋_GBK" w:cs="仿宋_GB2312"/>
          <w:sz w:val="32"/>
        </w:rPr>
        <w:t>万元，主要原因是</w:t>
      </w:r>
      <w:r>
        <w:rPr>
          <w:rFonts w:hint="eastAsia" w:ascii="方正仿宋_GBK" w:hAnsi="仿宋_GB2312" w:eastAsia="方正仿宋_GBK" w:cs="仿宋_GB2312"/>
          <w:sz w:val="32"/>
          <w:lang w:eastAsia="zh-CN"/>
        </w:rPr>
        <w:t>我中心遗属人员由</w:t>
      </w:r>
      <w:r>
        <w:rPr>
          <w:rFonts w:hint="eastAsia" w:ascii="方正仿宋_GBK" w:hAnsi="仿宋_GB2312" w:eastAsia="方正仿宋_GBK" w:cs="仿宋_GB2312"/>
          <w:sz w:val="32"/>
          <w:lang w:val="en-US" w:eastAsia="zh-CN"/>
        </w:rPr>
        <w:t>3人降为2人进行补助</w:t>
      </w:r>
      <w:r>
        <w:rPr>
          <w:rFonts w:hint="eastAsia" w:ascii="方正仿宋_GBK" w:hAnsi="仿宋_GB2312" w:eastAsia="方正仿宋_GBK" w:cs="仿宋_GB2312"/>
          <w:sz w:val="32"/>
        </w:rPr>
        <w:t>，主要用于</w:t>
      </w:r>
      <w:r>
        <w:rPr>
          <w:rFonts w:hint="eastAsia" w:ascii="方正仿宋_GBK" w:hAnsi="仿宋_GB2312" w:eastAsia="方正仿宋_GBK" w:cs="仿宋_GB2312"/>
          <w:sz w:val="32"/>
          <w:lang w:eastAsia="zh-CN"/>
        </w:rPr>
        <w:t>遗属人员补助</w:t>
      </w:r>
      <w:r>
        <w:rPr>
          <w:rFonts w:hint="eastAsia" w:ascii="方正仿宋_GBK" w:hAnsi="仿宋_GB2312" w:eastAsia="方正仿宋_GBK" w:cs="仿宋_GB2312"/>
          <w:sz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仿宋_GB2312" w:eastAsia="方正仿宋_GBK" w:cs="仿宋_GB2312"/>
          <w:sz w:val="32"/>
        </w:rPr>
      </w:pPr>
      <w:r>
        <w:rPr>
          <w:rFonts w:hint="eastAsia" w:ascii="方正仿宋_GBK" w:hAnsi="仿宋_GB2312" w:eastAsia="方正仿宋_GBK" w:cs="仿宋_GB2312"/>
          <w:sz w:val="32"/>
          <w:lang w:eastAsia="zh-CN"/>
        </w:rPr>
        <w:t>重庆市开州区文峰街道社区卫生服务中心无使用政府性基金预算拨款安排的支出。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黑体" w:eastAsia="方正仿宋_GBK" w:cs="仿宋_GB2312"/>
          <w:sz w:val="32"/>
        </w:rPr>
      </w:pPr>
      <w:r>
        <w:rPr>
          <w:rFonts w:hint="eastAsia" w:ascii="方正黑体_GBK" w:hAnsi="黑体" w:eastAsia="方正黑体_GBK" w:cs="仿宋_GB2312"/>
          <w:sz w:val="32"/>
        </w:rPr>
        <w:t>四、“三公”经费情况说明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我单位属于差额拨款事业单位，财政未保障我单位“三公”经费，“三公”经费为0.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黑体" w:eastAsia="方正黑体_GBK" w:cs="仿宋_GB2312"/>
          <w:sz w:val="32"/>
        </w:rPr>
      </w:pPr>
      <w:r>
        <w:rPr>
          <w:rFonts w:hint="eastAsia" w:ascii="方正黑体_GBK" w:hAnsi="黑体" w:eastAsia="方正黑体_GBK" w:cs="仿宋_GB2312"/>
          <w:sz w:val="32"/>
        </w:rPr>
        <w:t>五、其他重要事项的情况说明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仿宋_GB2312" w:eastAsia="方正仿宋_GBK" w:cs="仿宋_GB2312"/>
          <w:sz w:val="32"/>
        </w:rPr>
      </w:pPr>
      <w:r>
        <w:rPr>
          <w:rFonts w:hint="eastAsia" w:ascii="方正仿宋_GBK" w:hAnsi="仿宋_GB2312" w:eastAsia="方正仿宋_GBK" w:cs="仿宋_GB2312"/>
          <w:sz w:val="32"/>
          <w:lang w:eastAsia="zh-CN"/>
        </w:rPr>
        <w:t>（一）</w:t>
      </w:r>
      <w:r>
        <w:rPr>
          <w:rFonts w:hint="eastAsia" w:ascii="方正仿宋_GBK" w:hAnsi="仿宋_GB2312" w:eastAsia="方正仿宋_GBK" w:cs="仿宋_GB2312"/>
          <w:sz w:val="32"/>
        </w:rPr>
        <w:t>我单位不在机关运行经费统计范围之内。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仿宋_GB2312" w:eastAsia="方正仿宋_GBK" w:cs="仿宋_GB2312"/>
          <w:sz w:val="32"/>
        </w:rPr>
      </w:pPr>
      <w:r>
        <w:rPr>
          <w:rFonts w:hint="eastAsia" w:ascii="方正仿宋_GBK" w:hAnsi="仿宋_GB2312" w:eastAsia="方正仿宋_GBK" w:cs="仿宋_GB2312"/>
          <w:sz w:val="32"/>
          <w:lang w:eastAsia="zh-CN"/>
        </w:rPr>
        <w:t>（二）</w:t>
      </w:r>
      <w:r>
        <w:rPr>
          <w:rFonts w:hint="eastAsia" w:ascii="方正仿宋_GBK" w:hAnsi="仿宋_GB2312" w:eastAsia="方正仿宋_GBK" w:cs="仿宋_GB2312"/>
          <w:sz w:val="32"/>
        </w:rPr>
        <w:t>政府采购情况。所属各预算单位政府采购预算总额  万元：政府采购货物预算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万元、政府采购工程预算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万元、政府采购服务预算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万元；其中一般公共预算拨款政府采购  万元：政府采购货物预算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万元、政府采购工程预算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万元、政府采购服务预算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仿宋_GB2312" w:eastAsia="方正仿宋_GBK" w:cs="仿宋_GB2312"/>
          <w:color w:val="000000"/>
          <w:sz w:val="32"/>
        </w:rPr>
      </w:pPr>
      <w:r>
        <w:rPr>
          <w:rFonts w:hint="eastAsia" w:ascii="方正仿宋_GBK" w:hAnsi="仿宋_GB2312" w:eastAsia="方正仿宋_GBK" w:cs="仿宋_GB2312"/>
          <w:sz w:val="32"/>
          <w:lang w:eastAsia="zh-CN"/>
        </w:rPr>
        <w:t>（三）</w:t>
      </w:r>
      <w:r>
        <w:rPr>
          <w:rFonts w:hint="eastAsia" w:ascii="方正仿宋_GBK" w:hAnsi="仿宋_GB2312" w:eastAsia="方正仿宋_GBK" w:cs="仿宋_GB2312"/>
          <w:sz w:val="32"/>
        </w:rPr>
        <w:t>绩效目标设置情况。</w:t>
      </w:r>
      <w:r>
        <w:rPr>
          <w:rFonts w:hint="eastAsia" w:ascii="方正仿宋_GBK" w:hAnsi="仿宋_GB2312" w:eastAsia="方正仿宋_GBK" w:cs="仿宋_GB2312"/>
          <w:color w:val="000000"/>
          <w:sz w:val="32"/>
        </w:rPr>
        <w:t>2022年项目支出均实行了绩效目标管理，涉及一般公共预算当年财政拨款</w:t>
      </w:r>
      <w:r>
        <w:rPr>
          <w:rFonts w:hint="eastAsia" w:ascii="方正仿宋_GBK" w:hAnsi="仿宋_GB2312" w:eastAsia="方正仿宋_GBK" w:cs="仿宋_GB2312"/>
          <w:color w:val="000000"/>
          <w:sz w:val="32"/>
          <w:lang w:val="en-US" w:eastAsia="zh-CN"/>
        </w:rPr>
        <w:t>1.51</w:t>
      </w:r>
      <w:r>
        <w:rPr>
          <w:rFonts w:hint="eastAsia" w:ascii="方正仿宋_GBK" w:hAnsi="仿宋_GB2312" w:eastAsia="方正仿宋_GBK" w:cs="仿宋_GB2312"/>
          <w:color w:val="000000"/>
          <w:sz w:val="32"/>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仿宋_GB2312" w:eastAsia="方正仿宋_GBK" w:cs="仿宋_GB2312"/>
          <w:color w:val="000000"/>
          <w:sz w:val="32"/>
        </w:rPr>
      </w:pPr>
      <w:r>
        <w:rPr>
          <w:rFonts w:hint="eastAsia" w:ascii="方正仿宋_GBK" w:hAnsi="仿宋_GB2312" w:eastAsia="方正仿宋_GBK" w:cs="仿宋_GB2312"/>
          <w:color w:val="000000"/>
          <w:sz w:val="32"/>
          <w:lang w:eastAsia="zh-CN"/>
        </w:rPr>
        <w:t>（四）</w:t>
      </w:r>
      <w:r>
        <w:rPr>
          <w:rFonts w:hint="eastAsia" w:ascii="方正仿宋_GBK" w:hAnsi="仿宋_GB2312" w:eastAsia="方正仿宋_GBK" w:cs="仿宋_GB2312"/>
          <w:color w:val="000000"/>
          <w:sz w:val="32"/>
        </w:rPr>
        <w:t>国有资产占有使用情况。</w:t>
      </w:r>
      <w:r>
        <w:rPr>
          <w:rFonts w:hint="eastAsia" w:ascii="方正仿宋_GBK" w:hAnsi="仿宋_GB2312" w:eastAsia="方正仿宋_GBK" w:cs="仿宋_GB2312"/>
          <w:color w:val="000000"/>
          <w:sz w:val="32"/>
          <w:lang w:val="en-US" w:eastAsia="zh-CN"/>
        </w:rPr>
        <w:t>截至</w:t>
      </w:r>
      <w:r>
        <w:rPr>
          <w:rFonts w:hint="eastAsia" w:ascii="方正仿宋_GBK" w:hAnsi="仿宋_GB2312" w:eastAsia="方正仿宋_GBK" w:cs="仿宋_GB2312"/>
          <w:color w:val="000000"/>
          <w:sz w:val="32"/>
        </w:rPr>
        <w:t>2021年12月，所属各预算单位共有车辆</w:t>
      </w:r>
      <w:r>
        <w:rPr>
          <w:rFonts w:hint="eastAsia" w:ascii="方正仿宋_GBK" w:hAnsi="仿宋_GB2312" w:eastAsia="方正仿宋_GBK" w:cs="仿宋_GB2312"/>
          <w:color w:val="000000"/>
          <w:sz w:val="32"/>
          <w:lang w:val="en-US" w:eastAsia="zh-CN"/>
        </w:rPr>
        <w:t>1</w:t>
      </w:r>
      <w:r>
        <w:rPr>
          <w:rFonts w:hint="eastAsia" w:ascii="方正仿宋_GBK" w:hAnsi="仿宋_GB2312" w:eastAsia="方正仿宋_GBK" w:cs="仿宋_GB2312"/>
          <w:color w:val="000000"/>
          <w:sz w:val="32"/>
        </w:rPr>
        <w:t>辆，其中</w:t>
      </w:r>
      <w:r>
        <w:rPr>
          <w:rFonts w:hint="eastAsia" w:ascii="方正仿宋_GBK" w:hAnsi="仿宋_GB2312" w:eastAsia="方正仿宋_GBK" w:cs="仿宋_GB2312"/>
          <w:color w:val="000000"/>
          <w:sz w:val="32"/>
          <w:lang w:eastAsia="zh-CN"/>
        </w:rPr>
        <w:t>特种专业用车</w:t>
      </w:r>
      <w:r>
        <w:rPr>
          <w:rFonts w:hint="eastAsia" w:ascii="方正仿宋_GBK" w:hAnsi="仿宋_GB2312" w:eastAsia="方正仿宋_GBK" w:cs="仿宋_GB2312"/>
          <w:color w:val="000000"/>
          <w:sz w:val="32"/>
          <w:lang w:val="en-US" w:eastAsia="zh-CN"/>
        </w:rPr>
        <w:t>1</w:t>
      </w:r>
      <w:r>
        <w:rPr>
          <w:rFonts w:hint="eastAsia" w:ascii="方正仿宋_GBK" w:hAnsi="仿宋_GB2312" w:eastAsia="方正仿宋_GBK" w:cs="仿宋_GB2312"/>
          <w:color w:val="000000"/>
          <w:sz w:val="32"/>
        </w:rPr>
        <w:t xml:space="preserve"> 辆。2022年一般公共预算安排购置车辆</w:t>
      </w:r>
      <w:r>
        <w:rPr>
          <w:rFonts w:hint="eastAsia" w:ascii="方正仿宋_GBK" w:hAnsi="仿宋_GB2312" w:eastAsia="方正仿宋_GBK" w:cs="仿宋_GB2312"/>
          <w:color w:val="000000"/>
          <w:sz w:val="32"/>
          <w:lang w:val="en-US" w:eastAsia="zh-CN"/>
        </w:rPr>
        <w:t>0</w:t>
      </w:r>
      <w:r>
        <w:rPr>
          <w:rFonts w:hint="eastAsia" w:ascii="方正仿宋_GBK" w:hAnsi="仿宋_GB2312" w:eastAsia="方正仿宋_GBK" w:cs="仿宋_GB2312"/>
          <w:color w:val="000000"/>
          <w:sz w:val="32"/>
        </w:rPr>
        <w:t>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黑体" w:eastAsia="方正黑体_GBK" w:cs="仿宋_GB2312"/>
          <w:sz w:val="32"/>
        </w:rPr>
      </w:pPr>
      <w:r>
        <w:rPr>
          <w:rFonts w:hint="eastAsia" w:ascii="方正黑体_GBK" w:hAnsi="黑体" w:eastAsia="方正黑体_GBK" w:cs="仿宋_GB2312"/>
          <w:sz w:val="32"/>
        </w:rPr>
        <w:t>六、专业性名词解释</w:t>
      </w:r>
    </w:p>
    <w:p>
      <w:pPr>
        <w:keepNext w:val="0"/>
        <w:keepLines w:val="0"/>
        <w:pageBreakBefore w:val="0"/>
        <w:widowControl w:val="0"/>
        <w:tabs>
          <w:tab w:val="center" w:pos="4153"/>
          <w:tab w:val="left" w:pos="7275"/>
        </w:tabs>
        <w:kinsoku/>
        <w:wordWrap/>
        <w:overflowPunct/>
        <w:topLinePunct w:val="0"/>
        <w:autoSpaceDE/>
        <w:autoSpaceDN/>
        <w:bidi w:val="0"/>
        <w:adjustRightInd/>
        <w:snapToGrid/>
        <w:spacing w:line="600" w:lineRule="exact"/>
        <w:ind w:firstLine="640" w:firstLineChars="200"/>
        <w:jc w:val="left"/>
        <w:textAlignment w:val="auto"/>
        <w:rPr>
          <w:rFonts w:hint="eastAsia" w:ascii="方正仿宋_GBK" w:hAnsi="Calibri" w:eastAsia="方正仿宋_GBK"/>
          <w:sz w:val="32"/>
          <w:szCs w:val="32"/>
        </w:rPr>
      </w:pPr>
      <w:r>
        <w:rPr>
          <w:rFonts w:hint="eastAsia" w:ascii="方正仿宋_GBK" w:hAnsi="Calibri" w:eastAsia="方正仿宋_GBK"/>
          <w:sz w:val="32"/>
          <w:szCs w:val="32"/>
        </w:rPr>
        <w:t>（一）财政拨款收入：指本年度从本级财政部门取得的财政拨款，包括一般公共预算财政拨款和政府性基金预算财政拨款。</w:t>
      </w:r>
    </w:p>
    <w:p>
      <w:pPr>
        <w:keepNext w:val="0"/>
        <w:keepLines w:val="0"/>
        <w:pageBreakBefore w:val="0"/>
        <w:widowControl w:val="0"/>
        <w:tabs>
          <w:tab w:val="center" w:pos="4153"/>
          <w:tab w:val="left" w:pos="7275"/>
        </w:tabs>
        <w:kinsoku/>
        <w:wordWrap/>
        <w:overflowPunct/>
        <w:topLinePunct w:val="0"/>
        <w:autoSpaceDE/>
        <w:autoSpaceDN/>
        <w:bidi w:val="0"/>
        <w:adjustRightInd/>
        <w:snapToGrid/>
        <w:spacing w:line="600" w:lineRule="exact"/>
        <w:ind w:firstLine="640" w:firstLineChars="200"/>
        <w:jc w:val="left"/>
        <w:textAlignment w:val="auto"/>
        <w:rPr>
          <w:rFonts w:hint="eastAsia" w:ascii="方正仿宋_GBK" w:hAnsi="Calibri" w:eastAsia="方正仿宋_GBK"/>
          <w:sz w:val="32"/>
          <w:szCs w:val="32"/>
        </w:rPr>
      </w:pPr>
      <w:r>
        <w:rPr>
          <w:rFonts w:hint="eastAsia" w:ascii="方正仿宋_GBK" w:hAnsi="Calibri" w:eastAsia="方正仿宋_GBK"/>
          <w:sz w:val="32"/>
          <w:szCs w:val="32"/>
        </w:rPr>
        <w:t>（二）其他收入：指单位取得的除“财政拨款收入”“事业收入”“经营收入”等以外的收入。</w:t>
      </w:r>
    </w:p>
    <w:p>
      <w:pPr>
        <w:keepNext w:val="0"/>
        <w:keepLines w:val="0"/>
        <w:pageBreakBefore w:val="0"/>
        <w:widowControl w:val="0"/>
        <w:tabs>
          <w:tab w:val="center" w:pos="4153"/>
          <w:tab w:val="left" w:pos="7275"/>
        </w:tabs>
        <w:kinsoku/>
        <w:wordWrap/>
        <w:overflowPunct/>
        <w:topLinePunct w:val="0"/>
        <w:autoSpaceDE/>
        <w:autoSpaceDN/>
        <w:bidi w:val="0"/>
        <w:adjustRightInd/>
        <w:snapToGrid/>
        <w:spacing w:line="600" w:lineRule="exact"/>
        <w:ind w:firstLine="640" w:firstLineChars="200"/>
        <w:jc w:val="left"/>
        <w:textAlignment w:val="auto"/>
        <w:rPr>
          <w:rFonts w:hint="eastAsia" w:ascii="方正仿宋_GBK" w:hAnsi="Calibri" w:eastAsia="方正仿宋_GBK"/>
          <w:sz w:val="32"/>
          <w:szCs w:val="32"/>
        </w:rPr>
      </w:pPr>
      <w:r>
        <w:rPr>
          <w:rFonts w:hint="eastAsia" w:ascii="方正仿宋_GBK" w:hAnsi="Calibri" w:eastAsia="方正仿宋_GBK"/>
          <w:sz w:val="32"/>
          <w:szCs w:val="32"/>
        </w:rPr>
        <w:t>（三）基本支出：指为保障机构正常运转、完成日常工作任务而发生的人员经费和公用经费。</w:t>
      </w:r>
    </w:p>
    <w:p>
      <w:pPr>
        <w:keepNext w:val="0"/>
        <w:keepLines w:val="0"/>
        <w:pageBreakBefore w:val="0"/>
        <w:widowControl w:val="0"/>
        <w:tabs>
          <w:tab w:val="center" w:pos="4153"/>
          <w:tab w:val="left" w:pos="7275"/>
        </w:tabs>
        <w:kinsoku/>
        <w:wordWrap/>
        <w:overflowPunct/>
        <w:topLinePunct w:val="0"/>
        <w:autoSpaceDE/>
        <w:autoSpaceDN/>
        <w:bidi w:val="0"/>
        <w:adjustRightInd/>
        <w:snapToGrid/>
        <w:spacing w:line="600" w:lineRule="exact"/>
        <w:ind w:firstLine="640" w:firstLineChars="200"/>
        <w:jc w:val="left"/>
        <w:textAlignment w:val="auto"/>
        <w:rPr>
          <w:rFonts w:hint="eastAsia" w:ascii="方正仿宋_GBK" w:hAnsi="Calibri" w:eastAsia="方正仿宋_GBK"/>
          <w:sz w:val="32"/>
          <w:szCs w:val="32"/>
        </w:rPr>
      </w:pPr>
      <w:r>
        <w:rPr>
          <w:rFonts w:hint="eastAsia" w:ascii="方正仿宋_GBK" w:hAnsi="Calibri" w:eastAsia="方正仿宋_GBK"/>
          <w:sz w:val="32"/>
          <w:szCs w:val="32"/>
        </w:rPr>
        <w:t>（四）项目支出：指在基本支出之外为完成特定行政任务和事业发展目标所发生的支出。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仿宋_GB2312" w:eastAsia="方正仿宋_GBK" w:cs="仿宋_GB2312"/>
          <w:color w:val="000000"/>
          <w:sz w:val="32"/>
        </w:rPr>
      </w:pPr>
      <w:r>
        <w:rPr>
          <w:rFonts w:hint="eastAsia" w:ascii="方正仿宋_GBK" w:hAnsi="Calibri" w:eastAsia="方正仿宋_GBK"/>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sz w:val="32"/>
        </w:rPr>
      </w:pPr>
      <w:r>
        <w:rPr>
          <w:rFonts w:hint="eastAsia" w:ascii="方正仿宋_GBK" w:hAnsi="仿宋_GB2312" w:eastAsia="方正仿宋_GBK" w:cs="仿宋_GB2312"/>
          <w:b/>
          <w:sz w:val="32"/>
        </w:rPr>
        <w:t>部门预算公开联系人：</w:t>
      </w:r>
      <w:r>
        <w:rPr>
          <w:rFonts w:hint="eastAsia" w:ascii="方正仿宋_GBK" w:hAnsi="仿宋_GB2312" w:eastAsia="方正仿宋_GBK" w:cs="仿宋_GB2312"/>
          <w:b/>
          <w:sz w:val="32"/>
          <w:lang w:eastAsia="zh-CN"/>
        </w:rPr>
        <w:t>陶冶</w:t>
      </w:r>
      <w:r>
        <w:rPr>
          <w:rFonts w:hint="eastAsia" w:ascii="方正仿宋_GBK" w:hAnsi="仿宋_GB2312" w:eastAsia="方正仿宋_GBK" w:cs="仿宋_GB2312"/>
          <w:b/>
          <w:sz w:val="32"/>
        </w:rPr>
        <w:t xml:space="preserve">  　联系方式</w:t>
      </w:r>
      <w:r>
        <w:rPr>
          <w:rFonts w:hint="eastAsia" w:ascii="方正仿宋_GBK" w:hAnsi="仿宋_GB2312" w:eastAsia="方正仿宋_GBK" w:cs="仿宋_GB2312"/>
          <w:b/>
          <w:sz w:val="32"/>
          <w:lang w:eastAsia="zh-CN"/>
        </w:rPr>
        <w:t>：</w:t>
      </w:r>
      <w:r>
        <w:rPr>
          <w:rFonts w:hint="eastAsia" w:ascii="方正仿宋_GBK" w:hAnsi="仿宋_GB2312" w:eastAsia="方正仿宋_GBK" w:cs="仿宋_GB2312"/>
          <w:b/>
          <w:sz w:val="32"/>
          <w:lang w:val="en-US" w:eastAsia="zh-CN"/>
        </w:rPr>
        <w:t>023-81757155</w:t>
      </w:r>
      <w:r>
        <w:rPr>
          <w:rFonts w:hint="eastAsia" w:ascii="方正仿宋_GBK" w:hAnsi="仿宋_GB2312" w:eastAsia="方正仿宋_GBK" w:cs="仿宋_GB2312"/>
          <w:b/>
          <w:sz w:val="32"/>
        </w:rPr>
        <w:t>　　</w:t>
      </w:r>
    </w:p>
    <w:p>
      <w:pPr>
        <w:keepNext w:val="0"/>
        <w:keepLines w:val="0"/>
        <w:pageBreakBefore w:val="0"/>
        <w:widowControl w:val="0"/>
        <w:kinsoku/>
        <w:wordWrap/>
        <w:overflowPunct/>
        <w:topLinePunct w:val="0"/>
        <w:autoSpaceDE/>
        <w:autoSpaceDN/>
        <w:bidi w:val="0"/>
        <w:adjustRightInd/>
        <w:snapToGrid/>
        <w:spacing w:line="600" w:lineRule="exact"/>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黑体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651C7C"/>
    <w:multiLevelType w:val="singleLevel"/>
    <w:tmpl w:val="45651C7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8F0CE7"/>
    <w:rsid w:val="28224040"/>
    <w:rsid w:val="413A50E5"/>
    <w:rsid w:val="447E5220"/>
    <w:rsid w:val="4E6506CE"/>
    <w:rsid w:val="5A8F0C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next w:val="3"/>
    <w:unhideWhenUsed/>
    <w:qFormat/>
    <w:uiPriority w:val="99"/>
    <w:pPr>
      <w:tabs>
        <w:tab w:val="center" w:pos="4153"/>
        <w:tab w:val="right" w:pos="8306"/>
      </w:tabs>
      <w:snapToGrid w:val="0"/>
      <w:jc w:val="left"/>
    </w:pPr>
    <w:rPr>
      <w:sz w:val="18"/>
      <w:szCs w:val="18"/>
    </w:rPr>
  </w:style>
  <w:style w:type="paragraph" w:customStyle="1" w:styleId="3">
    <w:name w:val="索引 51"/>
    <w:basedOn w:val="1"/>
    <w:next w:val="1"/>
    <w:qFormat/>
    <w:uiPriority w:val="0"/>
    <w:pPr>
      <w:ind w:left="168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2022-02-10T07:23:00Z</dcterms:created>
  <dc:creator>listen to..</dc:creator>
  <cp:lastModifiedBy>DELL</cp:lastModifiedBy>
  <cp:lastPrinted>2022-02-10T08:29:00Z</cp:lastPrinted>
  <dcterms:modified xsi:type="dcterms:W3CDTF">2022-02-16T11:29:24Z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1C09B92521E74D629AF719031FB20203</vt:lpwstr>
  </property>
</Properties>
</file>