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仿宋_GBK" w:hAnsi="华文中宋" w:eastAsia="方正仿宋_GBK" w:cs="华文中宋"/>
          <w:b/>
          <w:sz w:val="32"/>
          <w:szCs w:val="32"/>
        </w:rPr>
      </w:pPr>
    </w:p>
    <w:p>
      <w:pPr>
        <w:spacing w:line="600" w:lineRule="exact"/>
        <w:jc w:val="center"/>
        <w:rPr>
          <w:rFonts w:hint="eastAsia" w:ascii="方正小标宋_GBK" w:hAnsi="华文中宋" w:eastAsia="方正小标宋_GBK" w:cs="华文中宋"/>
          <w:sz w:val="44"/>
          <w:szCs w:val="44"/>
          <w:lang w:eastAsia="zh-CN"/>
        </w:rPr>
      </w:pPr>
      <w:r>
        <w:rPr>
          <w:rFonts w:hint="eastAsia" w:ascii="方正小标宋_GBK" w:hAnsi="华文中宋" w:eastAsia="方正小标宋_GBK" w:cs="华文中宋"/>
          <w:sz w:val="44"/>
          <w:szCs w:val="44"/>
        </w:rPr>
        <w:t>重庆市开州区</w:t>
      </w:r>
      <w:r>
        <w:rPr>
          <w:rFonts w:hint="eastAsia" w:ascii="方正小标宋_GBK" w:hAnsi="华文中宋" w:eastAsia="方正小标宋_GBK" w:cs="华文中宋"/>
          <w:sz w:val="44"/>
          <w:szCs w:val="44"/>
          <w:lang w:eastAsia="zh-CN"/>
        </w:rPr>
        <w:t>温泉镇中心卫生院</w:t>
      </w: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ascii="华文中宋" w:hAnsi="华文中宋" w:eastAsia="华文中宋" w:cs="华文中宋"/>
          <w:sz w:val="44"/>
          <w:szCs w:val="44"/>
        </w:rPr>
      </w:pP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（一）职能职责</w:t>
      </w:r>
    </w:p>
    <w:p>
      <w:pPr>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微软雅黑" w:eastAsia="方正仿宋_GBK" w:cs="宋体"/>
          <w:color w:val="333333"/>
          <w:kern w:val="0"/>
          <w:sz w:val="32"/>
          <w:szCs w:val="32"/>
          <w:shd w:val="clear" w:color="auto" w:fill="FFFFFF"/>
          <w:lang w:val="en-US" w:eastAsia="zh-CN" w:bidi="ar"/>
        </w:rPr>
      </w:pPr>
      <w:r>
        <w:rPr>
          <w:rFonts w:hint="eastAsia" w:ascii="方正仿宋_GBK" w:hAnsi="微软雅黑" w:eastAsia="方正仿宋_GBK" w:cs="宋体"/>
          <w:color w:val="333333"/>
          <w:kern w:val="0"/>
          <w:sz w:val="32"/>
          <w:szCs w:val="32"/>
          <w:shd w:val="clear" w:color="auto" w:fill="FFFFFF"/>
          <w:lang w:val="en-US" w:eastAsia="zh-CN" w:bidi="ar"/>
        </w:rPr>
        <w:t>重庆市开州区温泉镇中心卫生院主要职责是为群众提供医疗卫生保健服务。负责提供公共卫生服务、负责处理重大疫情和公共卫生突发事件、加强健康档案管理、老年保健、慢病、妇幼、儿童、重精、结核等随访管理、预防接种、开展健康教育、进行爱国卫生指导、开展计划生育指导、负责提供基本医疗服务、负责开展计划生育技术服务指导、负责开展生殖保健、优生优育、避孕节育的宣传教育和孕情检查、随访服务、承担计划生育技术、生育保健的咨询、指导和技术服务、负责管理村卫生室和诊所、承担辖区公共卫生管理。</w:t>
      </w:r>
    </w:p>
    <w:p>
      <w:pPr>
        <w:tabs>
          <w:tab w:val="center" w:pos="4153"/>
          <w:tab w:val="left" w:pos="7275"/>
        </w:tabs>
        <w:spacing w:line="600" w:lineRule="exact"/>
        <w:ind w:left="640"/>
        <w:jc w:val="left"/>
        <w:rPr>
          <w:rFonts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spacing w:line="6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重庆市开州区</w:t>
      </w:r>
      <w:r>
        <w:rPr>
          <w:rFonts w:hint="eastAsia" w:ascii="方正仿宋_GBK" w:hAnsi="方正仿宋_GBK" w:eastAsia="方正仿宋_GBK" w:cs="方正仿宋_GBK"/>
          <w:sz w:val="32"/>
          <w:szCs w:val="32"/>
          <w:lang w:eastAsia="zh-CN"/>
        </w:rPr>
        <w:t>温泉镇中心卫生院</w:t>
      </w:r>
      <w:r>
        <w:rPr>
          <w:rFonts w:hint="eastAsia" w:ascii="方正仿宋_GBK" w:hAnsi="方正仿宋_GBK" w:eastAsia="方正仿宋_GBK" w:cs="方正仿宋_GBK"/>
          <w:sz w:val="32"/>
          <w:szCs w:val="32"/>
        </w:rPr>
        <w:t>内设院办公室、财务科、公共卫生管理科、医务科、护理部、医保办公室、综合后勤保障科、医技科、住院内科、口腔科、门诊内科、</w:t>
      </w:r>
      <w:r>
        <w:rPr>
          <w:rFonts w:hint="eastAsia" w:ascii="方正仿宋_GBK" w:hAnsi="方正仿宋_GBK" w:eastAsia="方正仿宋_GBK" w:cs="方正仿宋_GBK"/>
          <w:sz w:val="32"/>
          <w:szCs w:val="32"/>
          <w:lang w:eastAsia="zh-CN"/>
        </w:rPr>
        <w:t>中医科</w:t>
      </w:r>
      <w:r>
        <w:rPr>
          <w:rFonts w:hint="eastAsia" w:ascii="方正仿宋_GBK" w:hAnsi="方正仿宋_GBK" w:eastAsia="方正仿宋_GBK" w:cs="方正仿宋_GBK"/>
          <w:sz w:val="32"/>
          <w:szCs w:val="32"/>
        </w:rPr>
        <w:t>、收费室、中西药房、治疗室15个科室。从预算单位构成看，本单位是二级预算单位，主管部门为重庆市开州区卫生健康委员会。</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default" w:ascii="方正仿宋_GBK" w:hAnsi="仿宋_GB2312" w:eastAsia="方正仿宋_GBK" w:cs="仿宋_GB2312"/>
          <w:sz w:val="32"/>
          <w:lang w:val="en-US" w:eastAsia="zh-CN"/>
        </w:rPr>
      </w:pPr>
      <w:r>
        <w:rPr>
          <w:rFonts w:hint="eastAsia" w:ascii="方正仿宋_GBK" w:hAnsi="仿宋_GB2312" w:eastAsia="方正仿宋_GBK" w:cs="仿宋_GB2312"/>
          <w:sz w:val="32"/>
        </w:rPr>
        <w:t xml:space="preserve">（一）收入预算：2022年年初预算数 </w:t>
      </w:r>
      <w:r>
        <w:rPr>
          <w:rFonts w:hint="eastAsia" w:ascii="方正仿宋_GBK" w:hAnsi="仿宋_GB2312" w:eastAsia="方正仿宋_GBK" w:cs="仿宋_GB2312"/>
          <w:sz w:val="32"/>
          <w:lang w:val="en-US" w:eastAsia="zh-CN"/>
        </w:rPr>
        <w:t>3066.72</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816.72</w:t>
      </w:r>
      <w:r>
        <w:rPr>
          <w:rFonts w:hint="eastAsia" w:ascii="方正仿宋_GBK" w:hAnsi="仿宋_GB2312" w:eastAsia="方正仿宋_GBK" w:cs="仿宋_GB2312"/>
          <w:sz w:val="32"/>
        </w:rPr>
        <w:t xml:space="preserve"> 万元，政府性基金预算拨款0 万元，国有资本经营预算收入 0万元，事业收入 2</w:t>
      </w:r>
      <w:r>
        <w:rPr>
          <w:rFonts w:hint="eastAsia" w:ascii="方正仿宋_GBK" w:hAnsi="仿宋_GB2312" w:eastAsia="方正仿宋_GBK" w:cs="仿宋_GB2312"/>
          <w:sz w:val="32"/>
          <w:lang w:val="en-US" w:eastAsia="zh-CN"/>
        </w:rPr>
        <w:t>2</w:t>
      </w:r>
      <w:r>
        <w:rPr>
          <w:rFonts w:hint="eastAsia" w:ascii="方正仿宋_GBK" w:hAnsi="仿宋_GB2312" w:eastAsia="方正仿宋_GBK" w:cs="仿宋_GB2312"/>
          <w:sz w:val="32"/>
        </w:rPr>
        <w:t xml:space="preserve">00.00万元，事业单位经营收入 0万元，其他收入 </w:t>
      </w:r>
      <w:r>
        <w:rPr>
          <w:rFonts w:hint="eastAsia" w:ascii="方正仿宋_GBK" w:hAnsi="仿宋_GB2312" w:eastAsia="方正仿宋_GBK" w:cs="仿宋_GB2312"/>
          <w:sz w:val="32"/>
          <w:lang w:val="en-US" w:eastAsia="zh-CN"/>
        </w:rPr>
        <w:t>5</w:t>
      </w:r>
      <w:r>
        <w:rPr>
          <w:rFonts w:hint="eastAsia" w:ascii="方正仿宋_GBK" w:hAnsi="仿宋_GB2312" w:eastAsia="方正仿宋_GBK" w:cs="仿宋_GB2312"/>
          <w:sz w:val="32"/>
        </w:rPr>
        <w:t xml:space="preserve">0万元。收入较2021年增加 </w:t>
      </w:r>
      <w:r>
        <w:rPr>
          <w:rFonts w:hint="eastAsia" w:ascii="方正仿宋_GBK" w:hAnsi="仿宋_GB2312" w:eastAsia="方正仿宋_GBK" w:cs="仿宋_GB2312"/>
          <w:sz w:val="32"/>
          <w:lang w:val="en-US" w:eastAsia="zh-CN"/>
        </w:rPr>
        <w:t>664.12</w:t>
      </w:r>
      <w:r>
        <w:rPr>
          <w:rFonts w:hint="eastAsia" w:ascii="方正仿宋_GBK" w:hAnsi="仿宋_GB2312" w:eastAsia="方正仿宋_GBK" w:cs="仿宋_GB2312"/>
          <w:sz w:val="32"/>
        </w:rPr>
        <w:t>万元，主要是一般公共预算拨款增加</w:t>
      </w:r>
      <w:r>
        <w:rPr>
          <w:rFonts w:hint="eastAsia" w:ascii="方正仿宋_GBK" w:hAnsi="仿宋_GB2312" w:eastAsia="方正仿宋_GBK" w:cs="仿宋_GB2312"/>
          <w:sz w:val="32"/>
          <w:lang w:val="en-US" w:eastAsia="zh-CN"/>
        </w:rPr>
        <w:t>15.42</w:t>
      </w:r>
      <w:r>
        <w:rPr>
          <w:rFonts w:hint="eastAsia" w:ascii="方正仿宋_GBK" w:hAnsi="仿宋_GB2312" w:eastAsia="方正仿宋_GBK" w:cs="仿宋_GB2312"/>
          <w:sz w:val="32"/>
        </w:rPr>
        <w:t>万元，事业收入增加</w:t>
      </w:r>
      <w:r>
        <w:rPr>
          <w:rFonts w:hint="eastAsia" w:ascii="方正仿宋_GBK" w:hAnsi="仿宋_GB2312" w:eastAsia="方正仿宋_GBK" w:cs="仿宋_GB2312"/>
          <w:sz w:val="32"/>
          <w:lang w:val="en-US" w:eastAsia="zh-CN"/>
        </w:rPr>
        <w:t>598.7</w:t>
      </w:r>
      <w:r>
        <w:rPr>
          <w:rFonts w:hint="eastAsia" w:ascii="方正仿宋_GBK" w:hAnsi="仿宋_GB2312" w:eastAsia="方正仿宋_GBK" w:cs="仿宋_GB2312"/>
          <w:sz w:val="32"/>
        </w:rPr>
        <w:t>万元经费</w:t>
      </w:r>
      <w:r>
        <w:rPr>
          <w:rFonts w:hint="eastAsia" w:ascii="方正仿宋_GBK" w:hAnsi="仿宋_GB2312" w:eastAsia="方正仿宋_GBK" w:cs="仿宋_GB2312"/>
          <w:sz w:val="32"/>
          <w:lang w:eastAsia="zh-CN"/>
        </w:rPr>
        <w:t>，其他收入增加</w:t>
      </w:r>
      <w:r>
        <w:rPr>
          <w:rFonts w:hint="eastAsia" w:ascii="方正仿宋_GBK" w:hAnsi="仿宋_GB2312" w:eastAsia="方正仿宋_GBK" w:cs="仿宋_GB2312"/>
          <w:sz w:val="32"/>
          <w:lang w:val="en-US" w:eastAsia="zh-CN"/>
        </w:rPr>
        <w:t>50万元。</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 xml:space="preserve">（二）支出预算：2022年年初预算数 </w:t>
      </w:r>
      <w:r>
        <w:rPr>
          <w:rFonts w:hint="eastAsia" w:ascii="方正仿宋_GBK" w:hAnsi="仿宋_GB2312" w:eastAsia="方正仿宋_GBK" w:cs="仿宋_GB2312"/>
          <w:sz w:val="32"/>
          <w:lang w:val="en-US" w:eastAsia="zh-CN"/>
        </w:rPr>
        <w:t>2854.55</w:t>
      </w:r>
      <w:r>
        <w:rPr>
          <w:rFonts w:hint="eastAsia" w:ascii="方正仿宋_GBK" w:hAnsi="仿宋_GB2312" w:eastAsia="方正仿宋_GBK" w:cs="仿宋_GB2312"/>
          <w:sz w:val="32"/>
        </w:rPr>
        <w:t xml:space="preserve">万元，其中：一般公共服务支出预算 0万元，教育支出预算 0万元，社会保障和就业支出预算 </w:t>
      </w:r>
      <w:r>
        <w:rPr>
          <w:rFonts w:hint="eastAsia" w:ascii="方正仿宋_GBK" w:hAnsi="仿宋_GB2312" w:eastAsia="方正仿宋_GBK" w:cs="仿宋_GB2312"/>
          <w:sz w:val="32"/>
          <w:lang w:val="en-US" w:eastAsia="zh-CN"/>
        </w:rPr>
        <w:t>269.15</w:t>
      </w:r>
      <w:r>
        <w:rPr>
          <w:rFonts w:hint="eastAsia" w:ascii="方正仿宋_GBK" w:hAnsi="仿宋_GB2312" w:eastAsia="方正仿宋_GBK" w:cs="仿宋_GB2312"/>
          <w:sz w:val="32"/>
        </w:rPr>
        <w:t>万元，卫生健康支出预算25</w:t>
      </w:r>
      <w:r>
        <w:rPr>
          <w:rFonts w:hint="eastAsia" w:ascii="方正仿宋_GBK" w:hAnsi="仿宋_GB2312" w:eastAsia="方正仿宋_GBK" w:cs="仿宋_GB2312"/>
          <w:sz w:val="32"/>
          <w:lang w:val="en-US" w:eastAsia="zh-CN"/>
        </w:rPr>
        <w:t>18.15</w:t>
      </w:r>
      <w:r>
        <w:rPr>
          <w:rFonts w:hint="eastAsia" w:ascii="方正仿宋_GBK" w:hAnsi="仿宋_GB2312" w:eastAsia="方正仿宋_GBK" w:cs="仿宋_GB2312"/>
          <w:sz w:val="32"/>
        </w:rPr>
        <w:t xml:space="preserve"> 万元，住房保障支出预算 </w:t>
      </w:r>
      <w:r>
        <w:rPr>
          <w:rFonts w:hint="eastAsia" w:ascii="方正仿宋_GBK" w:hAnsi="仿宋_GB2312" w:eastAsia="方正仿宋_GBK" w:cs="仿宋_GB2312"/>
          <w:sz w:val="32"/>
          <w:lang w:val="en-US" w:eastAsia="zh-CN"/>
        </w:rPr>
        <w:t>67.85</w:t>
      </w:r>
      <w:r>
        <w:rPr>
          <w:rFonts w:hint="eastAsia" w:ascii="方正仿宋_GBK" w:hAnsi="仿宋_GB2312" w:eastAsia="方正仿宋_GBK" w:cs="仿宋_GB2312"/>
          <w:sz w:val="32"/>
        </w:rPr>
        <w:t xml:space="preserve">万元。支出预算较2021年增加 </w:t>
      </w:r>
      <w:r>
        <w:rPr>
          <w:rFonts w:hint="eastAsia" w:ascii="方正仿宋_GBK" w:hAnsi="仿宋_GB2312" w:eastAsia="方正仿宋_GBK" w:cs="仿宋_GB2312"/>
          <w:sz w:val="32"/>
          <w:lang w:val="en-US" w:eastAsia="zh-CN"/>
        </w:rPr>
        <w:t>451.95</w:t>
      </w:r>
      <w:r>
        <w:rPr>
          <w:rFonts w:hint="eastAsia" w:ascii="方正仿宋_GBK" w:hAnsi="仿宋_GB2312" w:eastAsia="方正仿宋_GBK" w:cs="仿宋_GB2312"/>
          <w:sz w:val="32"/>
        </w:rPr>
        <w:t>万元，主要是基本支出预算增加</w:t>
      </w:r>
      <w:r>
        <w:rPr>
          <w:rFonts w:hint="eastAsia" w:ascii="方正仿宋_GBK" w:hAnsi="仿宋_GB2312" w:eastAsia="方正仿宋_GBK" w:cs="仿宋_GB2312"/>
          <w:sz w:val="32"/>
          <w:lang w:val="en-US" w:eastAsia="zh-CN"/>
        </w:rPr>
        <w:t>451.95</w:t>
      </w:r>
      <w:r>
        <w:rPr>
          <w:rFonts w:hint="eastAsia" w:ascii="方正仿宋_GBK" w:hAnsi="仿宋_GB2312" w:eastAsia="方正仿宋_GBK" w:cs="仿宋_GB2312"/>
          <w:sz w:val="32"/>
        </w:rPr>
        <w:t xml:space="preserve">万元，项目支出预算增加 </w:t>
      </w:r>
      <w:r>
        <w:rPr>
          <w:rFonts w:hint="eastAsia" w:ascii="方正仿宋_GBK" w:hAnsi="仿宋_GB2312" w:eastAsia="方正仿宋_GBK" w:cs="仿宋_GB2312"/>
          <w:sz w:val="32"/>
          <w:lang w:val="en-US" w:eastAsia="zh-CN"/>
        </w:rPr>
        <w:t>0.6</w:t>
      </w:r>
      <w:r>
        <w:rPr>
          <w:rFonts w:hint="eastAsia" w:ascii="方正仿宋_GBK" w:hAnsi="仿宋_GB2312" w:eastAsia="方正仿宋_GBK" w:cs="仿宋_GB2312"/>
          <w:sz w:val="32"/>
        </w:rPr>
        <w:t>万元。</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 xml:space="preserve">2022年一般公共预算财政拨款收入 </w:t>
      </w:r>
      <w:r>
        <w:rPr>
          <w:rFonts w:hint="eastAsia" w:ascii="方正仿宋_GBK" w:hAnsi="仿宋_GB2312" w:eastAsia="方正仿宋_GBK" w:cs="仿宋_GB2312"/>
          <w:sz w:val="32"/>
          <w:lang w:val="en-US" w:eastAsia="zh-CN"/>
        </w:rPr>
        <w:t>816.12</w:t>
      </w:r>
      <w:r>
        <w:rPr>
          <w:rFonts w:hint="eastAsia" w:ascii="方正仿宋_GBK" w:hAnsi="仿宋_GB2312" w:eastAsia="方正仿宋_GBK" w:cs="仿宋_GB2312"/>
          <w:sz w:val="32"/>
        </w:rPr>
        <w:t xml:space="preserve"> 万元，一般公共预算财政拨款支出 </w:t>
      </w:r>
      <w:r>
        <w:rPr>
          <w:rFonts w:hint="eastAsia" w:ascii="方正仿宋_GBK" w:hAnsi="仿宋_GB2312" w:eastAsia="方正仿宋_GBK" w:cs="仿宋_GB2312"/>
          <w:sz w:val="32"/>
          <w:lang w:val="en-US" w:eastAsia="zh-CN"/>
        </w:rPr>
        <w:t>816.12</w:t>
      </w:r>
      <w:r>
        <w:rPr>
          <w:rFonts w:hint="eastAsia" w:ascii="方正仿宋_GBK" w:hAnsi="仿宋_GB2312" w:eastAsia="方正仿宋_GBK" w:cs="仿宋_GB2312"/>
          <w:sz w:val="32"/>
        </w:rPr>
        <w:t xml:space="preserve">万元，比2021年增加 </w:t>
      </w:r>
      <w:r>
        <w:rPr>
          <w:rFonts w:hint="eastAsia" w:ascii="方正仿宋_GBK" w:hAnsi="仿宋_GB2312" w:eastAsia="方正仿宋_GBK" w:cs="仿宋_GB2312"/>
          <w:sz w:val="32"/>
          <w:lang w:val="en-US" w:eastAsia="zh-CN"/>
        </w:rPr>
        <w:t>14.82</w:t>
      </w:r>
      <w:r>
        <w:rPr>
          <w:rFonts w:hint="eastAsia" w:ascii="方正仿宋_GBK" w:hAnsi="仿宋_GB2312" w:eastAsia="方正仿宋_GBK" w:cs="仿宋_GB2312"/>
          <w:sz w:val="32"/>
        </w:rPr>
        <w:t xml:space="preserve">万元。其中：基本支出 </w:t>
      </w:r>
      <w:r>
        <w:rPr>
          <w:rFonts w:hint="eastAsia" w:ascii="方正仿宋_GBK" w:hAnsi="仿宋_GB2312" w:eastAsia="方正仿宋_GBK" w:cs="仿宋_GB2312"/>
          <w:sz w:val="32"/>
          <w:lang w:val="en-US" w:eastAsia="zh-CN"/>
        </w:rPr>
        <w:t>816.12</w:t>
      </w:r>
      <w:r>
        <w:rPr>
          <w:rFonts w:hint="eastAsia" w:ascii="方正仿宋_GBK" w:hAnsi="仿宋_GB2312" w:eastAsia="方正仿宋_GBK" w:cs="仿宋_GB2312"/>
          <w:sz w:val="32"/>
        </w:rPr>
        <w:t xml:space="preserve"> 万元，比2021年增加  </w:t>
      </w:r>
      <w:r>
        <w:rPr>
          <w:rFonts w:hint="eastAsia" w:ascii="方正仿宋_GBK" w:hAnsi="仿宋_GB2312" w:eastAsia="方正仿宋_GBK" w:cs="仿宋_GB2312"/>
          <w:sz w:val="32"/>
          <w:lang w:val="en-US" w:eastAsia="zh-CN"/>
        </w:rPr>
        <w:t>14.82</w:t>
      </w:r>
      <w:r>
        <w:rPr>
          <w:rFonts w:hint="eastAsia" w:ascii="方正仿宋_GBK" w:hAnsi="仿宋_GB2312" w:eastAsia="方正仿宋_GBK" w:cs="仿宋_GB2312"/>
          <w:sz w:val="32"/>
        </w:rPr>
        <w:t>万元，主要原因是退休人员健康休养费标准调高，在职人员工资普调增长等，主要用于保障在职人员工资福利及社会保险缴费，退休人员健康休养费补助等，保障部门正常运转的各项商品服务支出；项目支出</w:t>
      </w:r>
      <w:r>
        <w:rPr>
          <w:rFonts w:hint="eastAsia" w:ascii="方正仿宋_GBK" w:hAnsi="仿宋_GB2312" w:eastAsia="方正仿宋_GBK" w:cs="仿宋_GB2312"/>
          <w:sz w:val="32"/>
          <w:lang w:val="en-US" w:eastAsia="zh-CN"/>
        </w:rPr>
        <w:t>0.6</w:t>
      </w:r>
      <w:r>
        <w:rPr>
          <w:rFonts w:hint="eastAsia" w:ascii="方正仿宋_GBK" w:hAnsi="仿宋_GB2312" w:eastAsia="方正仿宋_GBK" w:cs="仿宋_GB2312"/>
          <w:sz w:val="32"/>
        </w:rPr>
        <w:t xml:space="preserve">万元，比2021年增加 </w:t>
      </w:r>
      <w:r>
        <w:rPr>
          <w:rFonts w:hint="eastAsia" w:ascii="方正仿宋_GBK" w:hAnsi="仿宋_GB2312" w:eastAsia="方正仿宋_GBK" w:cs="仿宋_GB2312"/>
          <w:sz w:val="32"/>
          <w:lang w:val="en-US" w:eastAsia="zh-CN"/>
        </w:rPr>
        <w:t>0.6</w:t>
      </w:r>
      <w:r>
        <w:rPr>
          <w:rFonts w:hint="eastAsia" w:ascii="方正仿宋_GBK" w:hAnsi="仿宋_GB2312" w:eastAsia="方正仿宋_GBK" w:cs="仿宋_GB2312"/>
          <w:sz w:val="32"/>
        </w:rPr>
        <w:t>万元，主要原因是今年将遗嘱人员补助纳入到项目经费中，而去年未纳入。</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我单位2022年无使用政府性基金预算拨款安排的支出。</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我单位属于差额拨款单位，财政未保障我单位“三公”经费。</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2、政府采购情况。所属各预算单位政府采购预算总额  万元：政府采购货物预算 0 万元、政府采购工程预算 0 万元、政府采购服务预算 0 万元；其中一般公共预算拨款政府采购 0 万元：政府采购货物预算 0 万元、政府采购工程预算 0 万元、政府采购服务预算 0 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 xml:space="preserve">2022年项目支出均实行了绩效目标管理，涉及一般公共预算当年财政拨款 </w:t>
      </w:r>
      <w:r>
        <w:rPr>
          <w:rFonts w:hint="eastAsia" w:ascii="方正仿宋_GBK" w:hAnsi="仿宋_GB2312" w:eastAsia="方正仿宋_GBK" w:cs="仿宋_GB2312"/>
          <w:color w:val="000000"/>
          <w:sz w:val="32"/>
          <w:lang w:val="en-US" w:eastAsia="zh-CN"/>
        </w:rPr>
        <w:t>0.6</w:t>
      </w:r>
      <w:r>
        <w:rPr>
          <w:rFonts w:hint="eastAsia" w:ascii="方正仿宋_GBK" w:hAnsi="仿宋_GB2312" w:eastAsia="方正仿宋_GBK" w:cs="仿宋_GB2312"/>
          <w:color w:val="000000"/>
          <w:sz w:val="32"/>
        </w:rPr>
        <w:t>万元。</w:t>
      </w:r>
    </w:p>
    <w:p>
      <w:pPr>
        <w:ind w:firstLine="640" w:firstLineChars="200"/>
        <w:rPr>
          <w:rFonts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 xml:space="preserve">2021年12月，所属各预算单位共有车辆 </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辆，其中一般公务用车0 辆、执勤执法用车0 辆。2022年一般公共预算安排购置车辆 0辆，其中一般公务用车 0辆、执勤执法用车0 辆。</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ascii="方正仿宋_GBK" w:hAnsi="Calibri" w:eastAsia="方正仿宋_GBK"/>
          <w:sz w:val="32"/>
          <w:szCs w:val="32"/>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侯雪莲</w:t>
      </w:r>
      <w:r>
        <w:rPr>
          <w:rFonts w:hint="eastAsia" w:ascii="方正仿宋_GBK" w:hAnsi="仿宋_GB2312" w:eastAsia="方正仿宋_GBK" w:cs="仿宋_GB2312"/>
          <w:b/>
          <w:sz w:val="32"/>
        </w:rPr>
        <w:t xml:space="preserve">  　联系方式：023-</w:t>
      </w:r>
      <w:r>
        <w:rPr>
          <w:rFonts w:hint="eastAsia" w:ascii="方正仿宋_GBK" w:hAnsi="仿宋_GB2312" w:eastAsia="方正仿宋_GBK" w:cs="仿宋_GB2312"/>
          <w:b/>
          <w:sz w:val="32"/>
          <w:lang w:val="en-US" w:eastAsia="zh-CN"/>
        </w:rPr>
        <w:t>52413987</w:t>
      </w:r>
      <w:r>
        <w:rPr>
          <w:rFonts w:hint="eastAsia" w:ascii="方正仿宋_GBK" w:hAnsi="仿宋_GB2312" w:eastAsia="方正仿宋_GBK" w:cs="仿宋_GB2312"/>
          <w:b/>
          <w:sz w:val="32"/>
        </w:rPr>
        <w:t>　　</w:t>
      </w:r>
    </w:p>
    <w:p>
      <w:pPr>
        <w:spacing w:line="630" w:lineRule="exact"/>
        <w:ind w:firstLine="420" w:firstLineChars="200"/>
      </w:pP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666041"/>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67E"/>
    <w:rsid w:val="001614DD"/>
    <w:rsid w:val="00182D57"/>
    <w:rsid w:val="001B2AD1"/>
    <w:rsid w:val="001D5EA6"/>
    <w:rsid w:val="001F0749"/>
    <w:rsid w:val="0020167E"/>
    <w:rsid w:val="003E71BE"/>
    <w:rsid w:val="004E0BF5"/>
    <w:rsid w:val="00502039"/>
    <w:rsid w:val="0055241F"/>
    <w:rsid w:val="005B0749"/>
    <w:rsid w:val="006828D5"/>
    <w:rsid w:val="00725F6E"/>
    <w:rsid w:val="007778BA"/>
    <w:rsid w:val="007B0E91"/>
    <w:rsid w:val="00842722"/>
    <w:rsid w:val="00856472"/>
    <w:rsid w:val="008A2E52"/>
    <w:rsid w:val="009E040F"/>
    <w:rsid w:val="009F4BF5"/>
    <w:rsid w:val="00A45385"/>
    <w:rsid w:val="00AD3A82"/>
    <w:rsid w:val="00AE04F6"/>
    <w:rsid w:val="00B41414"/>
    <w:rsid w:val="00BD4350"/>
    <w:rsid w:val="00D64BEE"/>
    <w:rsid w:val="00DA5EEE"/>
    <w:rsid w:val="00E41BFB"/>
    <w:rsid w:val="00EA4BDA"/>
    <w:rsid w:val="00EB7BF2"/>
    <w:rsid w:val="00F00221"/>
    <w:rsid w:val="00F0422C"/>
    <w:rsid w:val="00FC591C"/>
    <w:rsid w:val="00FF2CC2"/>
    <w:rsid w:val="30852822"/>
    <w:rsid w:val="371E005A"/>
    <w:rsid w:val="43082535"/>
    <w:rsid w:val="476B5FD7"/>
    <w:rsid w:val="4B4D55F3"/>
    <w:rsid w:val="50776277"/>
    <w:rsid w:val="56A84AD2"/>
    <w:rsid w:val="589B001E"/>
    <w:rsid w:val="58C83D11"/>
    <w:rsid w:val="63A948C5"/>
    <w:rsid w:val="77631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next w:val="3"/>
    <w:link w:val="10"/>
    <w:unhideWhenUsed/>
    <w:qFormat/>
    <w:uiPriority w:val="99"/>
    <w:pPr>
      <w:tabs>
        <w:tab w:val="center" w:pos="4153"/>
        <w:tab w:val="right" w:pos="8306"/>
      </w:tabs>
      <w:snapToGrid w:val="0"/>
      <w:jc w:val="left"/>
    </w:pPr>
    <w:rPr>
      <w:sz w:val="18"/>
      <w:szCs w:val="18"/>
    </w:rPr>
  </w:style>
  <w:style w:type="paragraph" w:customStyle="1" w:styleId="3">
    <w:name w:val="索引 51"/>
    <w:basedOn w:val="1"/>
    <w:next w:val="1"/>
    <w:qFormat/>
    <w:uiPriority w:val="0"/>
    <w:pPr>
      <w:ind w:left="1680"/>
    </w:p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Char"/>
    <w:basedOn w:val="6"/>
    <w:link w:val="4"/>
    <w:qFormat/>
    <w:uiPriority w:val="9"/>
    <w:rPr>
      <w:b/>
      <w:bCs/>
      <w:kern w:val="44"/>
      <w:sz w:val="44"/>
      <w:szCs w:val="44"/>
    </w:rPr>
  </w:style>
  <w:style w:type="character" w:customStyle="1" w:styleId="9">
    <w:name w:val="页眉 Char"/>
    <w:basedOn w:val="6"/>
    <w:link w:val="5"/>
    <w:qFormat/>
    <w:uiPriority w:val="99"/>
    <w:rPr>
      <w:rFonts w:ascii="Times New Roman" w:hAnsi="Times New Roman" w:eastAsia="宋体" w:cs="Times New Roman"/>
      <w:sz w:val="18"/>
      <w:szCs w:val="18"/>
    </w:rPr>
  </w:style>
  <w:style w:type="character" w:customStyle="1" w:styleId="10">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310</Words>
  <Characters>1771</Characters>
  <Lines>14</Lines>
  <Paragraphs>4</Paragraphs>
  <TotalTime>0</TotalTime>
  <ScaleCrop>false</ScaleCrop>
  <LinksUpToDate>false</LinksUpToDate>
  <CharactersWithSpaces>2077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2022-02-10T02:57:00Z</dcterms:created>
  <dc:creator>Sky123.Org</dc:creator>
  <cp:lastModifiedBy>DELL</cp:lastModifiedBy>
  <cp:lastPrinted>2022-02-11T03:11:00Z</cp:lastPrinted>
  <dcterms:modified xsi:type="dcterms:W3CDTF">2022-02-16T11:27:49Z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