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_GBK" w:hAnsi="华文中宋" w:eastAsia="方正小标宋_GBK" w:cs="华文中宋"/>
          <w:sz w:val="44"/>
          <w:szCs w:val="44"/>
        </w:rPr>
      </w:pPr>
      <w:r>
        <w:rPr>
          <w:rFonts w:hint="eastAsia" w:ascii="方正小标宋_GBK" w:hAnsi="华文中宋" w:eastAsia="方正小标宋_GBK" w:cs="华文中宋"/>
          <w:sz w:val="44"/>
          <w:szCs w:val="44"/>
        </w:rPr>
        <w:t>重庆市开州区渠口镇卫生院</w:t>
      </w:r>
    </w:p>
    <w:p>
      <w:pPr>
        <w:spacing w:line="600" w:lineRule="exact"/>
        <w:jc w:val="center"/>
        <w:rPr>
          <w:rFonts w:hint="eastAsia" w:ascii="方正小标宋_GBK" w:hAnsi="华文中宋" w:eastAsia="方正小标宋_GBK" w:cs="华文中宋"/>
          <w:sz w:val="44"/>
          <w:szCs w:val="44"/>
        </w:rPr>
      </w:pPr>
      <w:r>
        <w:rPr>
          <w:rFonts w:hint="eastAsia" w:ascii="方正小标宋_GBK" w:hAnsi="华文中宋" w:eastAsia="方正小标宋_GBK" w:cs="华文中宋"/>
          <w:sz w:val="44"/>
          <w:szCs w:val="44"/>
        </w:rPr>
        <w:t>2022年部门预算情况说明</w:t>
      </w:r>
    </w:p>
    <w:p>
      <w:pPr>
        <w:spacing w:line="600" w:lineRule="exact"/>
        <w:ind w:firstLine="880" w:firstLineChars="200"/>
        <w:jc w:val="center"/>
        <w:rPr>
          <w:rFonts w:hint="eastAsia" w:ascii="华文中宋" w:hAnsi="华文中宋" w:eastAsia="华文中宋" w:cs="华文中宋"/>
          <w:sz w:val="44"/>
          <w:szCs w:val="44"/>
        </w:rPr>
      </w:pPr>
    </w:p>
    <w:p>
      <w:pPr>
        <w:spacing w:line="600" w:lineRule="exact"/>
        <w:ind w:left="640"/>
        <w:rPr>
          <w:rFonts w:hint="eastAsia" w:ascii="方正黑体_GBK" w:hAnsi="黑体" w:eastAsia="方正黑体_GBK" w:cs="仿宋_GB2312"/>
          <w:sz w:val="32"/>
        </w:rPr>
      </w:pPr>
      <w:r>
        <w:rPr>
          <w:rFonts w:hint="eastAsia" w:ascii="方正黑体_GBK" w:hAnsi="黑体" w:eastAsia="方正黑体_GBK" w:cs="仿宋_GB2312"/>
          <w:sz w:val="32"/>
        </w:rPr>
        <w:t>一、单位基本情况</w:t>
      </w:r>
    </w:p>
    <w:p>
      <w:pPr>
        <w:spacing w:line="600" w:lineRule="exact"/>
        <w:ind w:firstLine="640" w:firstLineChars="200"/>
        <w:rPr>
          <w:rFonts w:hint="eastAsia" w:ascii="方正仿宋_GBK" w:hAnsi="仿宋_GB2312" w:eastAsia="方正仿宋_GBK" w:cs="仿宋_GB2312"/>
          <w:sz w:val="32"/>
        </w:rPr>
      </w:pPr>
      <w:r>
        <w:rPr>
          <w:rFonts w:hint="eastAsia" w:ascii="方正仿宋_GBK" w:hAnsi="仿宋_GB2312" w:eastAsia="方正仿宋_GBK" w:cs="仿宋_GB2312"/>
          <w:sz w:val="32"/>
        </w:rPr>
        <w:t>（一）职能职责</w:t>
      </w:r>
    </w:p>
    <w:p>
      <w:pPr>
        <w:pStyle w:val="3"/>
        <w:spacing w:before="0" w:beforeAutospacing="0" w:after="0" w:afterAutospacing="0" w:line="600" w:lineRule="exact"/>
        <w:ind w:firstLine="678"/>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b w:val="0"/>
          <w:bCs/>
          <w:sz w:val="32"/>
          <w:szCs w:val="32"/>
        </w:rPr>
        <w:t>医院承担为一</w:t>
      </w:r>
      <w:r>
        <w:rPr>
          <w:rFonts w:hint="eastAsia" w:ascii="方正仿宋_GBK" w:hAnsi="方正仿宋_GBK" w:eastAsia="方正仿宋_GBK" w:cs="方正仿宋_GBK"/>
          <w:sz w:val="32"/>
          <w:szCs w:val="32"/>
        </w:rPr>
        <w:t>方人民身体健康提供基本医疗服务、基本公共卫生服务、村卫生室管理以及医养结合服务。开展常见病、多发病诊治与护理，疾病防控、保健与健康教育等，是渠口镇辖区医疗中心、医保定点医疗机构和公共卫生服务中心。</w:t>
      </w:r>
      <w:r>
        <w:rPr>
          <w:rFonts w:hint="eastAsia" w:ascii="方正仿宋_GBK" w:hAnsi="方正仿宋_GBK" w:eastAsia="方正仿宋_GBK" w:cs="方正仿宋_GBK"/>
          <w:sz w:val="32"/>
          <w:szCs w:val="32"/>
          <w:shd w:val="clear" w:color="auto" w:fill="FFFFFF"/>
        </w:rPr>
        <w:t xml:space="preserve">  </w:t>
      </w:r>
    </w:p>
    <w:p>
      <w:pPr>
        <w:tabs>
          <w:tab w:val="center" w:pos="4153"/>
          <w:tab w:val="left" w:pos="7275"/>
        </w:tabs>
        <w:spacing w:line="600" w:lineRule="exact"/>
        <w:ind w:left="640"/>
        <w:jc w:val="left"/>
        <w:rPr>
          <w:rFonts w:hint="eastAsia" w:ascii="方正仿宋_GBK" w:hAnsi="仿宋_GB2312" w:eastAsia="方正仿宋_GBK" w:cs="仿宋_GB2312"/>
          <w:sz w:val="32"/>
          <w:szCs w:val="22"/>
        </w:rPr>
      </w:pPr>
      <w:r>
        <w:rPr>
          <w:rFonts w:hint="eastAsia" w:ascii="方正仿宋_GBK" w:hAnsi="仿宋_GB2312" w:eastAsia="方正仿宋_GBK" w:cs="仿宋_GB2312"/>
          <w:sz w:val="32"/>
          <w:szCs w:val="22"/>
        </w:rPr>
        <w:t>（二）单位构成</w:t>
      </w:r>
    </w:p>
    <w:p>
      <w:pPr>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从预算单位构成看，本单位是二级预算单位，主管部门为重庆市开州区卫生健康委员会。本单位设立职能部门、临床医技科室和公共卫生管理科室。现有医疗设备：彩超、黑白B超，心电图、DR、全自动血球分析仪，生化检验设备，120救护车，能开展X光、B超、化验、心电图、开展院外120急救，基本满足一方人民群众的医疗服务需求。</w:t>
      </w:r>
    </w:p>
    <w:p>
      <w:pPr>
        <w:spacing w:line="600" w:lineRule="exact"/>
        <w:ind w:left="640"/>
        <w:rPr>
          <w:rFonts w:hint="eastAsia" w:ascii="方正仿宋_GBK" w:hAnsi="黑体" w:eastAsia="方正仿宋_GBK" w:cs="仿宋_GB2312"/>
          <w:sz w:val="32"/>
        </w:rPr>
      </w:pPr>
      <w:r>
        <w:rPr>
          <w:rFonts w:hint="eastAsia" w:ascii="方正黑体_GBK" w:hAnsi="黑体" w:eastAsia="方正黑体_GBK" w:cs="仿宋_GB2312"/>
          <w:sz w:val="32"/>
        </w:rPr>
        <w:t>二、部门收支总体情况</w:t>
      </w:r>
    </w:p>
    <w:p>
      <w:pPr>
        <w:spacing w:line="600" w:lineRule="exact"/>
        <w:ind w:firstLine="640" w:firstLineChars="200"/>
        <w:rPr>
          <w:rFonts w:hint="eastAsia" w:ascii="方正仿宋_GBK" w:hAnsi="仿宋_GB2312" w:eastAsia="方正仿宋_GBK" w:cs="仿宋_GB2312"/>
          <w:sz w:val="32"/>
        </w:rPr>
      </w:pPr>
      <w:r>
        <w:rPr>
          <w:rFonts w:hint="eastAsia" w:ascii="方正仿宋_GBK" w:hAnsi="仿宋_GB2312" w:eastAsia="方正仿宋_GBK" w:cs="仿宋_GB2312"/>
          <w:sz w:val="32"/>
        </w:rPr>
        <w:t>（一）收入预算：2022年年初预算数937.19万元，其中：一般公共预算拨款337.19 万元，事业收入600万元，收入较2021年增加168.71万元，主要是事业收入增加168.71万元。</w:t>
      </w:r>
    </w:p>
    <w:p>
      <w:pPr>
        <w:spacing w:line="600" w:lineRule="exact"/>
        <w:ind w:firstLine="640" w:firstLineChars="200"/>
        <w:rPr>
          <w:rFonts w:hint="eastAsia" w:ascii="方正仿宋_GBK" w:hAnsi="仿宋_GB2312" w:eastAsia="方正仿宋_GBK" w:cs="仿宋_GB2312"/>
          <w:sz w:val="32"/>
        </w:rPr>
      </w:pPr>
      <w:r>
        <w:rPr>
          <w:rFonts w:hint="eastAsia" w:ascii="方正仿宋_GBK" w:hAnsi="仿宋_GB2312" w:eastAsia="方正仿宋_GBK" w:cs="仿宋_GB2312"/>
          <w:sz w:val="32"/>
        </w:rPr>
        <w:t>（二）支出预算：2022年年初预算数929.98万元，其中：社会保障和就业支出预算81.45万元，卫生健康支出预算822.04万元，住房保障支出预算26.48万元。支出预算较2021年增加161.15万元，主要是基本支出预算增加161.15万元。</w:t>
      </w:r>
    </w:p>
    <w:p>
      <w:pPr>
        <w:spacing w:line="600" w:lineRule="exact"/>
        <w:ind w:left="640"/>
        <w:rPr>
          <w:rFonts w:hint="eastAsia" w:ascii="方正黑体_GBK" w:hAnsi="黑体" w:eastAsia="方正黑体_GBK" w:cs="仿宋_GB2312"/>
          <w:sz w:val="32"/>
        </w:rPr>
      </w:pPr>
      <w:r>
        <w:rPr>
          <w:rFonts w:hint="eastAsia" w:ascii="方正黑体_GBK" w:hAnsi="黑体" w:eastAsia="方正黑体_GBK" w:cs="仿宋_GB2312"/>
          <w:sz w:val="32"/>
        </w:rPr>
        <w:t>三、部门预算情况说明</w:t>
      </w:r>
    </w:p>
    <w:p>
      <w:pPr>
        <w:spacing w:line="600" w:lineRule="exact"/>
        <w:ind w:firstLine="640" w:firstLineChars="200"/>
        <w:rPr>
          <w:rFonts w:hint="eastAsia" w:ascii="方正仿宋_GBK" w:hAnsi="仿宋_GB2312" w:eastAsia="方正仿宋_GBK" w:cs="仿宋_GB2312"/>
          <w:sz w:val="32"/>
        </w:rPr>
      </w:pPr>
      <w:r>
        <w:rPr>
          <w:rFonts w:hint="eastAsia" w:ascii="方正仿宋_GBK" w:hAnsi="仿宋_GB2312" w:eastAsia="方正仿宋_GBK" w:cs="仿宋_GB2312"/>
          <w:sz w:val="32"/>
        </w:rPr>
        <w:t>2022年一般公共预算财政拨款收入337.19万元，一般公共预算财政拨款支出0万元，社会保障和就业支出预算财政拨款81.45万元，卫生健康支出预算财政拨款822.04万元，住房保障支出预算财政拨款26.48万元。</w:t>
      </w:r>
    </w:p>
    <w:p>
      <w:pPr>
        <w:spacing w:line="600" w:lineRule="exact"/>
        <w:ind w:firstLine="640" w:firstLineChars="200"/>
        <w:rPr>
          <w:rFonts w:hint="eastAsia" w:ascii="方正仿宋_GBK" w:hAnsi="仿宋_GB2312" w:eastAsia="方正仿宋_GBK" w:cs="仿宋_GB2312"/>
          <w:sz w:val="32"/>
        </w:rPr>
      </w:pPr>
      <w:r>
        <w:rPr>
          <w:rFonts w:hint="eastAsia" w:ascii="方正仿宋_GBK" w:hAnsi="仿宋_GB2312" w:eastAsia="方正仿宋_GBK" w:cs="仿宋_GB2312"/>
          <w:sz w:val="32"/>
        </w:rPr>
        <w:t>重庆市开州区渠口镇卫生院2022年无使用政府性基金预算拨款安排的支出。</w:t>
      </w:r>
    </w:p>
    <w:p>
      <w:pPr>
        <w:spacing w:line="600" w:lineRule="exact"/>
        <w:ind w:left="640"/>
        <w:rPr>
          <w:rFonts w:hint="eastAsia" w:ascii="方正仿宋_GBK" w:hAnsi="黑体" w:eastAsia="方正仿宋_GBK" w:cs="仿宋_GB2312"/>
          <w:sz w:val="32"/>
        </w:rPr>
      </w:pPr>
      <w:r>
        <w:rPr>
          <w:rFonts w:hint="eastAsia" w:ascii="方正黑体_GBK" w:hAnsi="黑体" w:eastAsia="方正黑体_GBK" w:cs="仿宋_GB2312"/>
          <w:sz w:val="32"/>
        </w:rPr>
        <w:t>四、“三公”经费情况说明</w:t>
      </w:r>
    </w:p>
    <w:p>
      <w:pPr>
        <w:spacing w:line="62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我单位属于差额拨款单位，财政未保障我单位“三公”经费。</w:t>
      </w:r>
    </w:p>
    <w:p>
      <w:pPr>
        <w:spacing w:line="600" w:lineRule="exact"/>
        <w:ind w:left="640"/>
        <w:rPr>
          <w:rFonts w:hint="eastAsia" w:ascii="方正黑体_GBK" w:hAnsi="黑体" w:eastAsia="方正黑体_GBK" w:cs="仿宋_GB2312"/>
          <w:sz w:val="32"/>
        </w:rPr>
      </w:pPr>
      <w:r>
        <w:rPr>
          <w:rFonts w:hint="eastAsia" w:ascii="方正黑体_GBK" w:hAnsi="黑体" w:eastAsia="方正黑体_GBK" w:cs="仿宋_GB2312"/>
          <w:sz w:val="32"/>
        </w:rPr>
        <w:t>五、其他重要事项的情况说明</w:t>
      </w:r>
    </w:p>
    <w:p>
      <w:pPr>
        <w:ind w:firstLine="640" w:firstLineChars="200"/>
        <w:rPr>
          <w:rFonts w:hint="eastAsia" w:ascii="方正仿宋_GBK" w:hAnsi="仿宋_GB2312" w:eastAsia="方正仿宋_GBK" w:cs="仿宋_GB2312"/>
          <w:sz w:val="32"/>
        </w:rPr>
      </w:pPr>
      <w:r>
        <w:rPr>
          <w:rFonts w:hint="eastAsia" w:ascii="方正仿宋_GBK" w:hAnsi="仿宋_GB2312" w:eastAsia="方正仿宋_GBK" w:cs="仿宋_GB2312"/>
          <w:sz w:val="32"/>
        </w:rPr>
        <w:t>1、我单位不在机关运行经费统计范围之内。</w:t>
      </w:r>
    </w:p>
    <w:p>
      <w:pPr>
        <w:ind w:firstLine="640" w:firstLineChars="200"/>
        <w:rPr>
          <w:rFonts w:hint="eastAsia" w:ascii="方正仿宋_GBK" w:hAnsi="仿宋_GB2312" w:eastAsia="方正仿宋_GBK" w:cs="仿宋_GB2312"/>
          <w:sz w:val="32"/>
        </w:rPr>
      </w:pPr>
      <w:r>
        <w:rPr>
          <w:rFonts w:hint="eastAsia" w:ascii="方正仿宋_GBK" w:hAnsi="仿宋_GB2312" w:eastAsia="方正仿宋_GBK" w:cs="仿宋_GB2312"/>
          <w:sz w:val="32"/>
        </w:rPr>
        <w:t>2、2022年我院无政府采购。</w:t>
      </w:r>
    </w:p>
    <w:p>
      <w:pPr>
        <w:ind w:firstLine="640" w:firstLineChars="200"/>
        <w:rPr>
          <w:rFonts w:hint="eastAsia" w:ascii="方正仿宋_GBK" w:hAnsi="仿宋_GB2312" w:eastAsia="方正仿宋_GBK" w:cs="仿宋_GB2312"/>
          <w:color w:val="000000"/>
          <w:sz w:val="32"/>
        </w:rPr>
      </w:pPr>
      <w:r>
        <w:rPr>
          <w:rFonts w:hint="eastAsia" w:ascii="方正仿宋_GBK" w:hAnsi="仿宋_GB2312" w:eastAsia="方正仿宋_GBK" w:cs="仿宋_GB2312"/>
          <w:sz w:val="32"/>
        </w:rPr>
        <w:t>3、绩效目标设置情况。</w:t>
      </w:r>
      <w:r>
        <w:rPr>
          <w:rFonts w:hint="eastAsia" w:ascii="方正仿宋_GBK" w:hAnsi="仿宋_GB2312" w:eastAsia="方正仿宋_GBK" w:cs="仿宋_GB2312"/>
          <w:color w:val="000000"/>
          <w:sz w:val="32"/>
        </w:rPr>
        <w:t>2022年项目支出均实行了绩效目标管理，涉及一般公共预算当年财政拨款0.92万元。</w:t>
      </w:r>
    </w:p>
    <w:p>
      <w:pPr>
        <w:ind w:firstLine="640" w:firstLineChars="200"/>
        <w:rPr>
          <w:rFonts w:hint="eastAsia" w:ascii="方正仿宋_GBK" w:hAnsi="仿宋_GB2312" w:eastAsia="方正仿宋_GBK" w:cs="仿宋_GB2312"/>
          <w:color w:val="000000"/>
          <w:sz w:val="32"/>
        </w:rPr>
      </w:pPr>
      <w:r>
        <w:rPr>
          <w:rFonts w:hint="eastAsia" w:ascii="方正仿宋_GBK" w:hAnsi="仿宋_GB2312" w:eastAsia="方正仿宋_GBK" w:cs="仿宋_GB2312"/>
          <w:color w:val="000000"/>
          <w:sz w:val="32"/>
        </w:rPr>
        <w:t>4、国有资产占有使用情况。</w:t>
      </w:r>
      <w:r>
        <w:rPr>
          <w:rFonts w:hint="eastAsia" w:ascii="方正仿宋_GBK" w:hAnsi="仿宋_GB2312" w:eastAsia="方正仿宋_GBK" w:cs="仿宋_GB2312"/>
          <w:color w:val="000000"/>
          <w:sz w:val="32"/>
          <w:lang w:val="en-US" w:eastAsia="zh-CN"/>
        </w:rPr>
        <w:t>截至</w:t>
      </w:r>
      <w:bookmarkStart w:id="0" w:name="_GoBack"/>
      <w:bookmarkEnd w:id="0"/>
      <w:r>
        <w:rPr>
          <w:rFonts w:hint="eastAsia" w:ascii="方正仿宋_GBK" w:hAnsi="仿宋_GB2312" w:eastAsia="方正仿宋_GBK" w:cs="仿宋_GB2312"/>
          <w:color w:val="000000"/>
          <w:sz w:val="32"/>
        </w:rPr>
        <w:t>2022年2月，所属我院共有车辆1辆（救护车）。</w:t>
      </w:r>
    </w:p>
    <w:p>
      <w:pPr>
        <w:spacing w:line="600" w:lineRule="exact"/>
        <w:ind w:left="640"/>
        <w:rPr>
          <w:rFonts w:hint="eastAsia" w:ascii="方正仿宋_GBK" w:hAnsi="Calibri" w:eastAsia="方正仿宋_GBK"/>
          <w:sz w:val="32"/>
          <w:szCs w:val="32"/>
        </w:rPr>
      </w:pPr>
      <w:r>
        <w:rPr>
          <w:rFonts w:hint="eastAsia" w:ascii="方正黑体_GBK" w:hAnsi="黑体" w:eastAsia="方正黑体_GBK" w:cs="仿宋_GB2312"/>
          <w:sz w:val="32"/>
        </w:rPr>
        <w:t>六、专业性名词解释</w:t>
      </w:r>
    </w:p>
    <w:p>
      <w:pPr>
        <w:tabs>
          <w:tab w:val="center" w:pos="4153"/>
          <w:tab w:val="left" w:pos="7275"/>
        </w:tabs>
        <w:spacing w:line="600" w:lineRule="exact"/>
        <w:ind w:firstLine="640" w:firstLineChars="200"/>
        <w:jc w:val="left"/>
        <w:rPr>
          <w:rFonts w:hint="eastAsia" w:ascii="方正仿宋_GBK" w:hAnsi="Calibri" w:eastAsia="方正仿宋_GBK"/>
          <w:sz w:val="32"/>
          <w:szCs w:val="32"/>
        </w:rPr>
      </w:pPr>
      <w:r>
        <w:rPr>
          <w:rFonts w:hint="eastAsia" w:ascii="方正仿宋_GBK" w:hAnsi="Calibri" w:eastAsia="方正仿宋_GBK"/>
          <w:sz w:val="32"/>
          <w:szCs w:val="32"/>
        </w:rPr>
        <w:t>（一）财政拨款收入：指本年度从本级财政部门取得的财政拨款，包括一般公共预算财政拨款和政府性基金预算财政拨款。</w:t>
      </w:r>
    </w:p>
    <w:p>
      <w:pPr>
        <w:pStyle w:val="8"/>
        <w:tabs>
          <w:tab w:val="center" w:pos="4153"/>
          <w:tab w:val="left" w:pos="7275"/>
        </w:tabs>
        <w:spacing w:line="600" w:lineRule="exact"/>
        <w:ind w:firstLine="640"/>
        <w:rPr>
          <w:rFonts w:ascii="方正仿宋_GBK" w:eastAsia="方正仿宋_GBK"/>
          <w:sz w:val="32"/>
          <w:szCs w:val="32"/>
        </w:rPr>
      </w:pPr>
      <w:r>
        <w:rPr>
          <w:rFonts w:hint="eastAsia" w:ascii="方正仿宋_GBK" w:hAnsi="Calibri" w:eastAsia="方正仿宋_GBK"/>
          <w:sz w:val="32"/>
          <w:szCs w:val="32"/>
        </w:rPr>
        <w:t>（二）</w:t>
      </w:r>
      <w:r>
        <w:rPr>
          <w:rFonts w:hint="eastAsia" w:ascii="方正楷体_GBK" w:hAnsi="方正楷体_GBK" w:eastAsia="方正楷体_GBK" w:cs="方正楷体_GBK"/>
          <w:sz w:val="32"/>
          <w:szCs w:val="32"/>
        </w:rPr>
        <w:t>事业收入：</w:t>
      </w:r>
      <w:r>
        <w:rPr>
          <w:rFonts w:hint="eastAsia" w:ascii="方正仿宋_GBK" w:eastAsia="方正仿宋_GBK"/>
          <w:sz w:val="32"/>
          <w:szCs w:val="32"/>
        </w:rPr>
        <w:t>指事业单位开展专业业务活动及其辅助活动取得的收入；事业单位收到的财政专户实际核拨的教育收费等资金在此反映。</w:t>
      </w:r>
    </w:p>
    <w:p>
      <w:pPr>
        <w:tabs>
          <w:tab w:val="center" w:pos="4153"/>
          <w:tab w:val="left" w:pos="7275"/>
        </w:tabs>
        <w:spacing w:line="600" w:lineRule="exact"/>
        <w:ind w:firstLine="640" w:firstLineChars="200"/>
        <w:jc w:val="left"/>
        <w:rPr>
          <w:rFonts w:hint="eastAsia" w:ascii="方正仿宋_GBK" w:hAnsi="Calibri" w:eastAsia="方正仿宋_GBK"/>
          <w:sz w:val="32"/>
          <w:szCs w:val="32"/>
        </w:rPr>
      </w:pPr>
      <w:r>
        <w:rPr>
          <w:rFonts w:hint="eastAsia" w:ascii="方正仿宋_GBK" w:hAnsi="Calibri" w:eastAsia="方正仿宋_GBK"/>
          <w:sz w:val="32"/>
          <w:szCs w:val="32"/>
        </w:rPr>
        <w:t>（三）基本支出：指为保障机构正常运转、完成日常工作任务而发生的人员经费和公用经费。</w:t>
      </w:r>
    </w:p>
    <w:p>
      <w:pPr>
        <w:tabs>
          <w:tab w:val="center" w:pos="4153"/>
          <w:tab w:val="left" w:pos="7275"/>
        </w:tabs>
        <w:spacing w:line="600" w:lineRule="exact"/>
        <w:ind w:firstLine="640" w:firstLineChars="200"/>
        <w:jc w:val="left"/>
        <w:rPr>
          <w:rFonts w:hint="eastAsia" w:ascii="方正仿宋_GBK" w:hAnsi="Calibri" w:eastAsia="方正仿宋_GBK"/>
          <w:sz w:val="32"/>
          <w:szCs w:val="32"/>
        </w:rPr>
      </w:pPr>
      <w:r>
        <w:rPr>
          <w:rFonts w:hint="eastAsia" w:ascii="方正仿宋_GBK" w:hAnsi="Calibri" w:eastAsia="方正仿宋_GBK"/>
          <w:sz w:val="32"/>
          <w:szCs w:val="32"/>
        </w:rPr>
        <w:t>（四）项目支出：指在基本支出之外为完成特定行政任务和事业发展目标所发生的支出。</w:t>
      </w:r>
    </w:p>
    <w:p>
      <w:pPr>
        <w:tabs>
          <w:tab w:val="center" w:pos="4153"/>
          <w:tab w:val="left" w:pos="7275"/>
        </w:tabs>
        <w:spacing w:line="600" w:lineRule="exact"/>
        <w:ind w:firstLine="640" w:firstLineChars="200"/>
        <w:jc w:val="left"/>
        <w:rPr>
          <w:rFonts w:hint="eastAsia" w:ascii="方正仿宋_GBK" w:hAnsi="Calibri" w:eastAsia="方正仿宋_GBK"/>
          <w:sz w:val="32"/>
          <w:szCs w:val="32"/>
        </w:rPr>
      </w:pPr>
    </w:p>
    <w:p>
      <w:pPr>
        <w:ind w:firstLine="640" w:firstLineChars="200"/>
        <w:rPr>
          <w:rFonts w:hint="eastAsia" w:ascii="仿宋_GB2312" w:hAnsi="仿宋_GB2312" w:eastAsia="仿宋_GB2312" w:cs="仿宋_GB2312"/>
          <w:sz w:val="32"/>
        </w:rPr>
      </w:pPr>
      <w:r>
        <w:rPr>
          <w:rFonts w:hint="eastAsia" w:ascii="方正仿宋_GBK" w:hAnsi="Calibri" w:eastAsia="方正仿宋_GBK"/>
          <w:sz w:val="32"/>
        </w:rPr>
        <w:t>（联系人：肖静，电话：</w:t>
      </w:r>
      <w:r>
        <w:rPr>
          <w:rFonts w:hint="eastAsia" w:ascii="方正仿宋_GBK" w:hAnsi="方正仿宋_GBK" w:eastAsia="方正仿宋_GBK" w:cs="方正仿宋_GBK"/>
          <w:sz w:val="32"/>
          <w:szCs w:val="32"/>
          <w:shd w:val="clear" w:color="auto" w:fill="FFFFFF"/>
        </w:rPr>
        <w:t>023-52208197）</w:t>
      </w:r>
    </w:p>
    <w:p>
      <w:pPr>
        <w:spacing w:line="620" w:lineRule="exact"/>
        <w:ind w:firstLine="2880" w:firstLineChars="900"/>
        <w:rPr>
          <w:rFonts w:hint="eastAsia" w:ascii="方正仿宋_GBK" w:hAnsi="Calibri" w:eastAsia="方正仿宋_GBK"/>
          <w:sz w:val="32"/>
          <w:szCs w:val="32"/>
        </w:rPr>
      </w:pPr>
    </w:p>
    <w:p>
      <w:pPr>
        <w:spacing w:line="630" w:lineRule="exact"/>
        <w:ind w:firstLine="420" w:firstLineChars="200"/>
        <w:rPr>
          <w:rFonts w:hint="eastAsia"/>
        </w:rPr>
      </w:pPr>
    </w:p>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黑体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D3DFE"/>
    <w:rsid w:val="001F0ECD"/>
    <w:rsid w:val="00277BE5"/>
    <w:rsid w:val="003F4863"/>
    <w:rsid w:val="004E3734"/>
    <w:rsid w:val="004F7189"/>
    <w:rsid w:val="005D7136"/>
    <w:rsid w:val="00617461"/>
    <w:rsid w:val="008D3DFE"/>
    <w:rsid w:val="009E75B2"/>
    <w:rsid w:val="00A52D82"/>
    <w:rsid w:val="00B81A99"/>
    <w:rsid w:val="00D57F60"/>
    <w:rsid w:val="4DA66F4C"/>
    <w:rsid w:val="50BA57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header"/>
    <w:basedOn w:val="1"/>
    <w:link w:val="7"/>
    <w:uiPriority w:val="99"/>
    <w:pPr>
      <w:pBdr>
        <w:bottom w:val="single" w:color="auto" w:sz="6" w:space="1"/>
      </w:pBdr>
      <w:tabs>
        <w:tab w:val="center" w:pos="4153"/>
        <w:tab w:val="right" w:pos="8306"/>
      </w:tabs>
      <w:snapToGrid w:val="0"/>
      <w:jc w:val="center"/>
    </w:pPr>
    <w:rPr>
      <w:sz w:val="18"/>
      <w:szCs w:val="18"/>
    </w:rPr>
  </w:style>
  <w:style w:type="paragraph" w:styleId="3">
    <w:name w:val="Normal (Web)"/>
    <w:basedOn w:val="1"/>
    <w:qFormat/>
    <w:uiPriority w:val="0"/>
    <w:pPr>
      <w:widowControl/>
      <w:spacing w:before="100" w:beforeAutospacing="1" w:after="100" w:afterAutospacing="1"/>
      <w:jc w:val="left"/>
    </w:pPr>
    <w:rPr>
      <w:rFonts w:ascii="宋体" w:hAnsi="宋体"/>
      <w:kern w:val="0"/>
      <w:sz w:val="24"/>
    </w:rPr>
  </w:style>
  <w:style w:type="character" w:styleId="5">
    <w:name w:val="Strong"/>
    <w:basedOn w:val="4"/>
    <w:qFormat/>
    <w:uiPriority w:val="0"/>
    <w:rPr>
      <w:b/>
    </w:rPr>
  </w:style>
  <w:style w:type="character" w:customStyle="1" w:styleId="7">
    <w:name w:val="页眉 Char"/>
    <w:basedOn w:val="4"/>
    <w:link w:val="2"/>
    <w:uiPriority w:val="99"/>
    <w:rPr>
      <w:rFonts w:ascii="Times New Roman" w:hAnsi="Times New Roman" w:eastAsia="宋体" w:cs="Times New Roman"/>
      <w:sz w:val="18"/>
      <w:szCs w:val="18"/>
    </w:rPr>
  </w:style>
  <w:style w:type="paragraph" w:customStyle="1" w:styleId="8">
    <w:name w:val="列出段落1"/>
    <w:basedOn w:val="1"/>
    <w:qFormat/>
    <w:uiPriority w:val="34"/>
    <w:pPr>
      <w:widowControl/>
      <w:ind w:firstLine="420" w:firstLineChars="200"/>
      <w:jc w:val="left"/>
    </w:pPr>
    <w:rPr>
      <w:rFonts w:ascii="宋体" w:hAnsi="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167</Words>
  <Characters>956</Characters>
  <Lines>7</Lines>
  <Paragraphs>2</Paragraphs>
  <TotalTime>0</TotalTime>
  <ScaleCrop>false</ScaleCrop>
  <LinksUpToDate>false</LinksUpToDate>
  <CharactersWithSpaces>1121</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2022-02-10T06:40:00Z</dcterms:created>
  <dc:creator>Administrator</dc:creator>
  <cp:lastModifiedBy>DELL</cp:lastModifiedBy>
  <dcterms:modified xsi:type="dcterms:W3CDTF">2022-02-16T10:44:39Z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