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lang w:val="en-US" w:eastAsia="zh-CN"/>
        </w:rPr>
      </w:pPr>
      <w:r>
        <w:rPr>
          <w:rFonts w:hint="eastAsia" w:ascii="方正小标宋_GBK" w:hAnsi="华文中宋" w:eastAsia="方正小标宋_GBK" w:cs="华文中宋"/>
          <w:sz w:val="44"/>
          <w:szCs w:val="44"/>
          <w:lang w:val="en-US" w:eastAsia="zh-CN"/>
        </w:rPr>
        <w:t>重庆市开州区麻柳乡卫生院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（一）职能职责</w:t>
      </w:r>
    </w:p>
    <w:p>
      <w:pPr>
        <w:spacing w:line="60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以公共卫生服务为主，综合提供预防保健和基本医疗服务，其主要职能职责：</w:t>
      </w:r>
    </w:p>
    <w:p>
      <w:pPr>
        <w:spacing w:line="60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1.贯彻执行卫生工作法律、法规和方针、政策,组织实施国家卫生标准和技术规范,制定和实施卫生编制规划和卫生人才发展规划。</w:t>
      </w:r>
    </w:p>
    <w:p>
      <w:pPr>
        <w:spacing w:line="60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疾病预防与控制:坚持预防为主的方针,协助处理农村重大疫情和公共卫生突发事件,协助重点控制严重危害居民身体健康的结核病、艾滋病等传染病和地方病、职业病、寄生虫病等疾病;慢性非传热性疾病的防治;实施免疫规划,为艾滋病感染者和艾滋病患者提供预防保健咨询服务等</w:t>
      </w:r>
    </w:p>
    <w:p>
      <w:pPr>
        <w:spacing w:line="60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3.妇幼保健:农村妇女病普查、孕产妇健康管理、产前检查、产后访视与指导、高危孕产妇筛查及转诊、新生儿疾病筛查和儿童生长发育监测与指导,托幼机构卫生保健管理等。</w:t>
      </w:r>
    </w:p>
    <w:p>
      <w:pPr>
        <w:spacing w:line="60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4.基本医疗:一般常见病、多发病的诊治,现场救护,慢性病筛查和重点慢性病健康管理,精神病患者管理,转诊服务等。</w:t>
      </w:r>
    </w:p>
    <w:p>
      <w:pPr>
        <w:spacing w:line="60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5.健康教育:普及疾病预防和卫生保健知识,开展青春期、更年期保健知识的咨询及指导。进行健康档案管理,引导和帮助居民建立良好的卫生习惯,破除迷信,倡导科学、文明、健康的生活方式。</w:t>
      </w:r>
    </w:p>
    <w:p>
      <w:pPr>
        <w:spacing w:line="60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6.抓好辖区内公共卫生管理和服务及卫生计生监督协管服务工作：承担区域内公共卫生信息收集与报告等任务;处理突发公共卫生事件;对村卫生室进行一条化管理和业务指导及对乡村医生的培训。</w:t>
      </w:r>
    </w:p>
    <w:p>
      <w:pPr>
        <w:tabs>
          <w:tab w:val="center" w:pos="4153"/>
          <w:tab w:val="left" w:pos="7275"/>
        </w:tabs>
        <w:spacing w:line="600" w:lineRule="exact"/>
        <w:ind w:left="640"/>
        <w:jc w:val="left"/>
        <w:rPr>
          <w:rFonts w:hint="eastAsia"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keepNext w:val="0"/>
        <w:keepLines w:val="0"/>
        <w:pageBreakBefore w:val="0"/>
        <w:kinsoku/>
        <w:wordWrap/>
        <w:overflowPunct/>
        <w:topLinePunct w:val="0"/>
        <w:autoSpaceDE/>
        <w:autoSpaceDN/>
        <w:bidi w:val="0"/>
        <w:adjustRightInd/>
        <w:spacing w:line="600" w:lineRule="atLeast"/>
        <w:ind w:firstLine="640" w:firstLineChars="200"/>
        <w:textAlignment w:val="auto"/>
        <w:outlineLvl w:val="9"/>
        <w:rPr>
          <w:rFonts w:hint="eastAsia" w:ascii="方正仿宋_GBK" w:hAnsi="方正仿宋_GBK" w:eastAsia="方正仿宋_GBK" w:cs="方正仿宋_GBK"/>
          <w:color w:val="auto"/>
          <w:kern w:val="0"/>
          <w:sz w:val="32"/>
          <w:szCs w:val="32"/>
          <w:lang w:val="en-US" w:eastAsia="zh-CN"/>
        </w:rPr>
      </w:pPr>
      <w:r>
        <w:rPr>
          <w:rFonts w:hint="eastAsia" w:ascii="方正仿宋_GBK" w:hAnsi="方正仿宋_GBK" w:eastAsia="方正仿宋_GBK" w:cs="方正仿宋_GBK"/>
          <w:color w:val="auto"/>
          <w:kern w:val="0"/>
          <w:sz w:val="32"/>
          <w:szCs w:val="32"/>
          <w:lang w:val="en-US" w:eastAsia="zh-CN"/>
        </w:rPr>
        <w:t>从预算单位构成看，本单位是二级预算单位，主管部门为重庆市开州区卫生健康委员会。</w:t>
      </w:r>
    </w:p>
    <w:p>
      <w:pPr>
        <w:keepNext w:val="0"/>
        <w:keepLines w:val="0"/>
        <w:pageBreakBefore w:val="0"/>
        <w:kinsoku/>
        <w:wordWrap/>
        <w:overflowPunct/>
        <w:topLinePunct w:val="0"/>
        <w:autoSpaceDE/>
        <w:autoSpaceDN/>
        <w:bidi w:val="0"/>
        <w:adjustRightInd/>
        <w:spacing w:line="600" w:lineRule="atLeast"/>
        <w:ind w:firstLine="640" w:firstLineChars="200"/>
        <w:textAlignment w:val="auto"/>
        <w:outlineLvl w:val="9"/>
        <w:rPr>
          <w:rFonts w:hint="eastAsia" w:ascii="方正仿宋_GBK" w:hAnsi="方正仿宋_GBK" w:eastAsia="方正仿宋_GBK" w:cs="方正仿宋_GBK"/>
          <w:color w:val="auto"/>
          <w:kern w:val="0"/>
          <w:sz w:val="32"/>
          <w:szCs w:val="32"/>
          <w:lang w:val="en-US" w:eastAsia="zh-CN"/>
        </w:rPr>
      </w:pPr>
      <w:r>
        <w:rPr>
          <w:rFonts w:hint="eastAsia" w:ascii="方正仿宋_GBK" w:hAnsi="方正仿宋_GBK" w:eastAsia="方正仿宋_GBK" w:cs="方正仿宋_GBK"/>
          <w:color w:val="auto"/>
          <w:sz w:val="32"/>
          <w:szCs w:val="32"/>
        </w:rPr>
        <w:t>我院是一所公立医疗机构及城镇职工基本医疗保险定点医院和农村居民医疗保险定点医疗机构，服务半径</w:t>
      </w:r>
      <w:r>
        <w:rPr>
          <w:rFonts w:hint="eastAsia" w:ascii="方正仿宋_GBK" w:hAnsi="方正仿宋_GBK" w:eastAsia="方正仿宋_GBK" w:cs="方正仿宋_GBK"/>
          <w:color w:val="auto"/>
          <w:sz w:val="32"/>
          <w:szCs w:val="32"/>
          <w:lang w:val="en-US" w:eastAsia="zh-CN"/>
        </w:rPr>
        <w:t>21</w:t>
      </w:r>
      <w:r>
        <w:rPr>
          <w:rFonts w:hint="eastAsia" w:ascii="方正仿宋_GBK" w:hAnsi="方正仿宋_GBK" w:eastAsia="方正仿宋_GBK" w:cs="方正仿宋_GBK"/>
          <w:color w:val="auto"/>
          <w:sz w:val="32"/>
          <w:szCs w:val="32"/>
        </w:rPr>
        <w:t>公里，服务人口</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万多人，主要开设有内</w:t>
      </w:r>
      <w:r>
        <w:rPr>
          <w:rFonts w:hint="eastAsia" w:ascii="方正仿宋_GBK" w:hAnsi="方正仿宋_GBK" w:eastAsia="方正仿宋_GBK" w:cs="方正仿宋_GBK"/>
          <w:color w:val="auto"/>
          <w:sz w:val="32"/>
          <w:szCs w:val="32"/>
          <w:lang w:val="en-US" w:eastAsia="zh-CN"/>
        </w:rPr>
        <w:t>科、</w:t>
      </w:r>
      <w:r>
        <w:rPr>
          <w:rFonts w:hint="eastAsia" w:ascii="方正仿宋_GBK" w:hAnsi="方正仿宋_GBK" w:eastAsia="方正仿宋_GBK" w:cs="方正仿宋_GBK"/>
          <w:color w:val="auto"/>
          <w:sz w:val="32"/>
          <w:szCs w:val="32"/>
        </w:rPr>
        <w:t>儿</w:t>
      </w:r>
      <w:r>
        <w:rPr>
          <w:rFonts w:hint="eastAsia" w:ascii="方正仿宋_GBK" w:hAnsi="方正仿宋_GBK" w:eastAsia="方正仿宋_GBK" w:cs="方正仿宋_GBK"/>
          <w:color w:val="auto"/>
          <w:sz w:val="32"/>
          <w:szCs w:val="32"/>
          <w:lang w:val="en-US" w:eastAsia="zh-CN"/>
        </w:rPr>
        <w:t>科</w:t>
      </w:r>
      <w:r>
        <w:rPr>
          <w:rFonts w:hint="eastAsia" w:ascii="方正仿宋_GBK" w:hAnsi="方正仿宋_GBK" w:eastAsia="方正仿宋_GBK" w:cs="方正仿宋_GBK"/>
          <w:color w:val="auto"/>
          <w:sz w:val="32"/>
          <w:szCs w:val="32"/>
        </w:rPr>
        <w:t>、外</w:t>
      </w:r>
      <w:r>
        <w:rPr>
          <w:rFonts w:hint="eastAsia" w:ascii="方正仿宋_GBK" w:hAnsi="方正仿宋_GBK" w:eastAsia="方正仿宋_GBK" w:cs="方正仿宋_GBK"/>
          <w:color w:val="auto"/>
          <w:sz w:val="32"/>
          <w:szCs w:val="32"/>
          <w:lang w:val="en-US" w:eastAsia="zh-CN"/>
        </w:rPr>
        <w:t>科</w:t>
      </w:r>
      <w:r>
        <w:rPr>
          <w:rFonts w:hint="eastAsia" w:ascii="方正仿宋_GBK" w:hAnsi="方正仿宋_GBK" w:eastAsia="方正仿宋_GBK" w:cs="方正仿宋_GBK"/>
          <w:color w:val="auto"/>
          <w:sz w:val="32"/>
          <w:szCs w:val="32"/>
        </w:rPr>
        <w:t>、妇科、预防保健</w:t>
      </w:r>
      <w:r>
        <w:rPr>
          <w:rFonts w:hint="eastAsia" w:ascii="方正仿宋_GBK" w:hAnsi="方正仿宋_GBK" w:eastAsia="方正仿宋_GBK" w:cs="方正仿宋_GBK"/>
          <w:color w:val="auto"/>
          <w:sz w:val="32"/>
          <w:szCs w:val="32"/>
          <w:lang w:val="en-US" w:eastAsia="zh-CN"/>
        </w:rPr>
        <w:t>科</w:t>
      </w:r>
      <w:r>
        <w:rPr>
          <w:rFonts w:hint="eastAsia" w:ascii="方正仿宋_GBK" w:hAnsi="方正仿宋_GBK" w:eastAsia="方正仿宋_GBK" w:cs="方正仿宋_GBK"/>
          <w:color w:val="auto"/>
          <w:sz w:val="32"/>
          <w:szCs w:val="32"/>
        </w:rPr>
        <w:t>、中医康复理疗等科室。医技科室有心电图</w:t>
      </w:r>
      <w:r>
        <w:rPr>
          <w:rFonts w:hint="eastAsia" w:ascii="方正仿宋_GBK" w:hAnsi="方正仿宋_GBK" w:eastAsia="方正仿宋_GBK" w:cs="方正仿宋_GBK"/>
          <w:color w:val="auto"/>
          <w:sz w:val="32"/>
          <w:szCs w:val="32"/>
          <w:lang w:val="en-US" w:eastAsia="zh-CN"/>
        </w:rPr>
        <w:t>室</w:t>
      </w:r>
      <w:r>
        <w:rPr>
          <w:rFonts w:hint="eastAsia" w:ascii="方正仿宋_GBK" w:hAnsi="方正仿宋_GBK" w:eastAsia="方正仿宋_GBK" w:cs="方正仿宋_GBK"/>
          <w:color w:val="auto"/>
          <w:sz w:val="32"/>
          <w:szCs w:val="32"/>
        </w:rPr>
        <w:t>、B超</w:t>
      </w:r>
      <w:r>
        <w:rPr>
          <w:rFonts w:hint="eastAsia" w:ascii="方正仿宋_GBK" w:hAnsi="方正仿宋_GBK" w:eastAsia="方正仿宋_GBK" w:cs="方正仿宋_GBK"/>
          <w:color w:val="auto"/>
          <w:sz w:val="32"/>
          <w:szCs w:val="32"/>
          <w:lang w:val="en-US" w:eastAsia="zh-CN"/>
        </w:rPr>
        <w:t>室</w:t>
      </w:r>
      <w:r>
        <w:rPr>
          <w:rFonts w:hint="eastAsia" w:ascii="方正仿宋_GBK" w:hAnsi="方正仿宋_GBK" w:eastAsia="方正仿宋_GBK" w:cs="方正仿宋_GBK"/>
          <w:color w:val="auto"/>
          <w:sz w:val="32"/>
          <w:szCs w:val="32"/>
        </w:rPr>
        <w:t>、彩超室、检验室、放射科等科室。</w:t>
      </w:r>
    </w:p>
    <w:p>
      <w:pPr>
        <w:pStyle w:val="2"/>
        <w:rPr>
          <w:rFonts w:hint="eastAsia"/>
          <w:lang w:val="en-US" w:eastAsia="zh-CN"/>
        </w:rPr>
      </w:pP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hint="eastAsia" w:ascii="方正仿宋_GBK" w:hAnsi="仿宋_GB2312" w:eastAsia="方正仿宋_GBK" w:cs="仿宋_GB2312"/>
          <w:sz w:val="32"/>
          <w:lang w:val="en-US" w:eastAsia="zh-CN"/>
        </w:rPr>
        <w:t>1051.04</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271.04</w:t>
      </w:r>
      <w:r>
        <w:rPr>
          <w:rFonts w:hint="eastAsia" w:ascii="方正仿宋_GBK" w:hAnsi="仿宋_GB2312" w:eastAsia="方正仿宋_GBK" w:cs="仿宋_GB2312"/>
          <w:sz w:val="32"/>
        </w:rPr>
        <w:t>万元，政府性基金预算拨款</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万元，国有资本经营预算收入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万元，事业收入</w:t>
      </w:r>
      <w:r>
        <w:rPr>
          <w:rFonts w:hint="eastAsia" w:ascii="方正仿宋_GBK" w:hAnsi="仿宋_GB2312" w:eastAsia="方正仿宋_GBK" w:cs="仿宋_GB2312"/>
          <w:sz w:val="32"/>
          <w:lang w:val="en-US" w:eastAsia="zh-CN"/>
        </w:rPr>
        <w:t>780</w:t>
      </w:r>
      <w:r>
        <w:rPr>
          <w:rFonts w:hint="eastAsia" w:ascii="方正仿宋_GBK" w:hAnsi="仿宋_GB2312" w:eastAsia="方正仿宋_GBK" w:cs="仿宋_GB2312"/>
          <w:sz w:val="32"/>
        </w:rPr>
        <w:t>万元，事业单位经营收入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万元，其他收入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万元。收入较2021年增加</w:t>
      </w:r>
      <w:r>
        <w:rPr>
          <w:rFonts w:hint="eastAsia" w:ascii="方正仿宋_GBK" w:hAnsi="仿宋_GB2312" w:eastAsia="方正仿宋_GBK" w:cs="仿宋_GB2312"/>
          <w:sz w:val="32"/>
          <w:lang w:val="en-US" w:eastAsia="zh-CN"/>
        </w:rPr>
        <w:t>187.69</w:t>
      </w:r>
      <w:r>
        <w:rPr>
          <w:rFonts w:hint="eastAsia" w:ascii="方正仿宋_GBK" w:hAnsi="仿宋_GB2312" w:eastAsia="方正仿宋_GBK" w:cs="仿宋_GB2312"/>
          <w:sz w:val="32"/>
        </w:rPr>
        <w:t>万元，主要是</w:t>
      </w:r>
      <w:r>
        <w:rPr>
          <w:rFonts w:hint="eastAsia" w:ascii="方正仿宋_GBK" w:hAnsi="仿宋_GB2312" w:eastAsia="方正仿宋_GBK" w:cs="仿宋_GB2312"/>
          <w:sz w:val="32"/>
          <w:lang w:val="en-US" w:eastAsia="zh-CN"/>
        </w:rPr>
        <w:t>事业收入财政</w:t>
      </w:r>
      <w:r>
        <w:rPr>
          <w:rFonts w:hint="eastAsia" w:ascii="方正仿宋_GBK" w:hAnsi="仿宋_GB2312" w:eastAsia="方正仿宋_GBK" w:cs="仿宋_GB2312"/>
          <w:sz w:val="32"/>
        </w:rPr>
        <w:t>拨款增加</w:t>
      </w:r>
      <w:r>
        <w:rPr>
          <w:rFonts w:hint="eastAsia" w:ascii="方正仿宋_GBK" w:hAnsi="仿宋_GB2312" w:eastAsia="方正仿宋_GBK" w:cs="仿宋_GB2312"/>
          <w:sz w:val="32"/>
          <w:lang w:val="en-US" w:eastAsia="zh-CN"/>
        </w:rPr>
        <w:t>377</w:t>
      </w:r>
      <w:r>
        <w:rPr>
          <w:rFonts w:hint="eastAsia" w:ascii="方正仿宋_GBK" w:hAnsi="仿宋_GB2312" w:eastAsia="方正仿宋_GBK" w:cs="仿宋_GB2312"/>
          <w:sz w:val="32"/>
        </w:rPr>
        <w:t>万元。</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hint="eastAsia" w:ascii="方正仿宋_GBK" w:hAnsi="仿宋_GB2312" w:eastAsia="方正仿宋_GBK" w:cs="仿宋_GB2312"/>
          <w:sz w:val="32"/>
          <w:lang w:val="en-US" w:eastAsia="zh-CN"/>
        </w:rPr>
        <w:t>989.2</w:t>
      </w:r>
      <w:r>
        <w:rPr>
          <w:rFonts w:hint="eastAsia" w:ascii="方正仿宋_GBK" w:hAnsi="仿宋_GB2312" w:eastAsia="方正仿宋_GBK" w:cs="仿宋_GB2312"/>
          <w:sz w:val="32"/>
        </w:rPr>
        <w:t>万元，其中：一般公共服务支出预算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万元，教育支出预算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万元，社会保障和就业支出预算</w:t>
      </w:r>
      <w:r>
        <w:rPr>
          <w:rFonts w:hint="eastAsia" w:ascii="方正仿宋_GBK" w:hAnsi="仿宋_GB2312" w:eastAsia="方正仿宋_GBK" w:cs="仿宋_GB2312"/>
          <w:sz w:val="32"/>
          <w:lang w:val="en-US" w:eastAsia="zh-CN"/>
        </w:rPr>
        <w:t>62.54</w:t>
      </w:r>
      <w:r>
        <w:rPr>
          <w:rFonts w:hint="eastAsia" w:ascii="方正仿宋_GBK" w:hAnsi="仿宋_GB2312" w:eastAsia="方正仿宋_GBK" w:cs="仿宋_GB2312"/>
          <w:sz w:val="32"/>
        </w:rPr>
        <w:t>万元，卫生健康支出预算</w:t>
      </w:r>
      <w:r>
        <w:rPr>
          <w:rFonts w:hint="eastAsia" w:ascii="方正仿宋_GBK" w:hAnsi="仿宋_GB2312" w:eastAsia="方正仿宋_GBK" w:cs="仿宋_GB2312"/>
          <w:sz w:val="32"/>
          <w:lang w:val="en-US" w:eastAsia="zh-CN"/>
        </w:rPr>
        <w:t>906.32</w:t>
      </w:r>
      <w:r>
        <w:rPr>
          <w:rFonts w:hint="eastAsia" w:ascii="方正仿宋_GBK" w:hAnsi="仿宋_GB2312" w:eastAsia="方正仿宋_GBK" w:cs="仿宋_GB2312"/>
          <w:sz w:val="32"/>
        </w:rPr>
        <w:t>万元，住房保障支出预算</w:t>
      </w:r>
      <w:r>
        <w:rPr>
          <w:rFonts w:hint="eastAsia" w:ascii="方正仿宋_GBK" w:hAnsi="仿宋_GB2312" w:eastAsia="方正仿宋_GBK" w:cs="仿宋_GB2312"/>
          <w:sz w:val="32"/>
          <w:lang w:val="en-US" w:eastAsia="zh-CN"/>
        </w:rPr>
        <w:t>20.35</w:t>
      </w:r>
      <w:r>
        <w:rPr>
          <w:rFonts w:hint="eastAsia" w:ascii="方正仿宋_GBK" w:hAnsi="仿宋_GB2312" w:eastAsia="方正仿宋_GBK" w:cs="仿宋_GB2312"/>
          <w:sz w:val="32"/>
        </w:rPr>
        <w:t>万元。支出预算较2021年增加</w:t>
      </w:r>
      <w:r>
        <w:rPr>
          <w:rFonts w:hint="eastAsia" w:ascii="方正仿宋_GBK" w:hAnsi="仿宋_GB2312" w:eastAsia="方正仿宋_GBK" w:cs="仿宋_GB2312"/>
          <w:sz w:val="32"/>
          <w:lang w:val="en-US" w:eastAsia="zh-CN"/>
        </w:rPr>
        <w:t>178.15</w:t>
      </w:r>
      <w:r>
        <w:rPr>
          <w:rFonts w:hint="eastAsia" w:ascii="方正仿宋_GBK" w:hAnsi="仿宋_GB2312" w:eastAsia="方正仿宋_GBK" w:cs="仿宋_GB2312"/>
          <w:sz w:val="32"/>
        </w:rPr>
        <w:t>万元，主要是基本支出预算增加 万元，项目支出预算增加 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keepNext w:val="0"/>
        <w:keepLines w:val="0"/>
        <w:pageBreakBefore w:val="0"/>
        <w:kinsoku/>
        <w:wordWrap/>
        <w:overflowPunct/>
        <w:topLinePunct w:val="0"/>
        <w:autoSpaceDE/>
        <w:autoSpaceDN/>
        <w:bidi w:val="0"/>
        <w:adjustRightInd/>
        <w:spacing w:line="600" w:lineRule="atLeast"/>
        <w:ind w:firstLine="640" w:firstLineChars="200"/>
        <w:textAlignment w:val="auto"/>
        <w:outlineLvl w:val="9"/>
        <w:rPr>
          <w:rFonts w:hint="eastAsia" w:ascii="方正仿宋_GBK" w:hAnsi="方正仿宋_GBK" w:eastAsia="方正仿宋_GBK" w:cs="方正仿宋_GBK"/>
          <w:color w:val="auto"/>
          <w:sz w:val="32"/>
          <w:szCs w:val="32"/>
        </w:rPr>
      </w:pPr>
      <w:r>
        <w:rPr>
          <w:rFonts w:hint="eastAsia" w:ascii="方正仿宋_GBK" w:hAnsi="仿宋_GB2312" w:eastAsia="方正仿宋_GBK" w:cs="仿宋_GB2312"/>
          <w:sz w:val="32"/>
        </w:rPr>
        <w:t>2022年一般公共预算财政拨款收入</w:t>
      </w:r>
      <w:r>
        <w:rPr>
          <w:rFonts w:hint="eastAsia" w:ascii="方正仿宋_GBK" w:hAnsi="仿宋_GB2312" w:eastAsia="方正仿宋_GBK" w:cs="仿宋_GB2312"/>
          <w:sz w:val="32"/>
          <w:lang w:val="en-US" w:eastAsia="zh-CN"/>
        </w:rPr>
        <w:t>271.04</w:t>
      </w:r>
      <w:r>
        <w:rPr>
          <w:rFonts w:hint="eastAsia" w:ascii="方正仿宋_GBK" w:hAnsi="仿宋_GB2312" w:eastAsia="方正仿宋_GBK" w:cs="仿宋_GB2312"/>
          <w:sz w:val="32"/>
        </w:rPr>
        <w:t>万元，一般公共预算财政拨款支出</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万元，比2021年减少</w:t>
      </w:r>
      <w:r>
        <w:rPr>
          <w:rFonts w:hint="eastAsia" w:ascii="方正仿宋_GBK" w:hAnsi="仿宋_GB2312" w:eastAsia="方正仿宋_GBK" w:cs="仿宋_GB2312"/>
          <w:sz w:val="32"/>
          <w:lang w:val="en-US" w:eastAsia="zh-CN"/>
        </w:rPr>
        <w:t>135.08</w:t>
      </w:r>
      <w:r>
        <w:rPr>
          <w:rFonts w:hint="eastAsia" w:ascii="方正仿宋_GBK" w:hAnsi="仿宋_GB2312" w:eastAsia="方正仿宋_GBK" w:cs="仿宋_GB2312"/>
          <w:sz w:val="32"/>
        </w:rPr>
        <w:t>万元。其中：基本支出</w:t>
      </w:r>
      <w:r>
        <w:rPr>
          <w:rFonts w:hint="eastAsia" w:ascii="方正仿宋_GBK" w:hAnsi="仿宋_GB2312" w:eastAsia="方正仿宋_GBK" w:cs="仿宋_GB2312"/>
          <w:sz w:val="32"/>
          <w:lang w:val="en-US" w:eastAsia="zh-CN"/>
        </w:rPr>
        <w:t>269.96</w:t>
      </w:r>
      <w:r>
        <w:rPr>
          <w:rFonts w:hint="eastAsia" w:ascii="方正仿宋_GBK" w:hAnsi="仿宋_GB2312" w:eastAsia="方正仿宋_GBK" w:cs="仿宋_GB2312"/>
          <w:sz w:val="32"/>
        </w:rPr>
        <w:t>万</w:t>
      </w:r>
      <w:bookmarkStart w:id="0" w:name="_GoBack"/>
      <w:bookmarkEnd w:id="0"/>
      <w:r>
        <w:rPr>
          <w:rFonts w:hint="eastAsia" w:ascii="方正仿宋_GBK" w:hAnsi="仿宋_GB2312" w:eastAsia="方正仿宋_GBK" w:cs="仿宋_GB2312"/>
          <w:sz w:val="32"/>
        </w:rPr>
        <w:t>元，比2021年减少</w:t>
      </w:r>
      <w:r>
        <w:rPr>
          <w:rFonts w:hint="eastAsia" w:ascii="方正仿宋_GBK" w:hAnsi="仿宋_GB2312" w:eastAsia="方正仿宋_GBK" w:cs="仿宋_GB2312"/>
          <w:sz w:val="32"/>
          <w:lang w:val="en-US" w:eastAsia="zh-CN"/>
        </w:rPr>
        <w:t>116.16</w:t>
      </w:r>
      <w:r>
        <w:rPr>
          <w:rFonts w:hint="eastAsia" w:ascii="方正仿宋_GBK" w:hAnsi="仿宋_GB2312" w:eastAsia="方正仿宋_GBK" w:cs="仿宋_GB2312"/>
          <w:sz w:val="32"/>
        </w:rPr>
        <w:t>万元，</w:t>
      </w:r>
      <w:r>
        <w:rPr>
          <w:rFonts w:hint="eastAsia" w:ascii="方正仿宋_GBK" w:hAnsi="方正仿宋_GBK" w:eastAsia="方正仿宋_GBK" w:cs="方正仿宋_GBK"/>
          <w:color w:val="auto"/>
          <w:sz w:val="32"/>
          <w:szCs w:val="32"/>
        </w:rPr>
        <w:t>主要原因是项目跨年度执行。</w:t>
      </w:r>
      <w:r>
        <w:rPr>
          <w:rFonts w:hint="eastAsia" w:ascii="方正仿宋_GBK" w:hAnsi="仿宋_GB2312" w:eastAsia="方正仿宋_GBK" w:cs="仿宋_GB2312"/>
          <w:sz w:val="32"/>
        </w:rPr>
        <w:t>主要用于保障在职人员工资福利及社会保险缴费，离休人员离休费，退休人员补助等，保障部门正常运转的各项商品服务支出；项目支出</w:t>
      </w:r>
      <w:r>
        <w:rPr>
          <w:rFonts w:hint="eastAsia" w:ascii="方正仿宋_GBK" w:hAnsi="仿宋_GB2312" w:eastAsia="方正仿宋_GBK" w:cs="仿宋_GB2312"/>
          <w:sz w:val="32"/>
          <w:lang w:val="en-US" w:eastAsia="zh-CN"/>
        </w:rPr>
        <w:t>1.08</w:t>
      </w:r>
      <w:r>
        <w:rPr>
          <w:rFonts w:hint="eastAsia" w:ascii="方正仿宋_GBK" w:hAnsi="仿宋_GB2312" w:eastAsia="方正仿宋_GBK" w:cs="仿宋_GB2312"/>
          <w:sz w:val="32"/>
        </w:rPr>
        <w:t>万元，比2021年减少</w:t>
      </w:r>
      <w:r>
        <w:rPr>
          <w:rFonts w:hint="eastAsia" w:ascii="方正仿宋_GBK" w:hAnsi="仿宋_GB2312" w:eastAsia="方正仿宋_GBK" w:cs="仿宋_GB2312"/>
          <w:sz w:val="32"/>
          <w:lang w:val="en-US" w:eastAsia="zh-CN"/>
        </w:rPr>
        <w:t>103.12</w:t>
      </w:r>
      <w:r>
        <w:rPr>
          <w:rFonts w:hint="eastAsia" w:ascii="方正仿宋_GBK" w:hAnsi="仿宋_GB2312" w:eastAsia="方正仿宋_GBK" w:cs="仿宋_GB2312"/>
          <w:sz w:val="32"/>
        </w:rPr>
        <w:t>万元，</w:t>
      </w:r>
      <w:r>
        <w:rPr>
          <w:rFonts w:hint="eastAsia" w:ascii="方正仿宋_GBK" w:hAnsi="方正仿宋_GBK" w:eastAsia="方正仿宋_GBK" w:cs="方正仿宋_GBK"/>
          <w:color w:val="auto"/>
          <w:sz w:val="32"/>
          <w:szCs w:val="32"/>
        </w:rPr>
        <w:t>主要原因是项目跨年度执行。</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2022年政府性基金预算收入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 万元，政府性基金预算支出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keepNext w:val="0"/>
        <w:keepLines w:val="0"/>
        <w:pageBreakBefore w:val="0"/>
        <w:kinsoku/>
        <w:wordWrap/>
        <w:overflowPunct/>
        <w:topLinePunct w:val="0"/>
        <w:autoSpaceDE/>
        <w:autoSpaceDN/>
        <w:bidi w:val="0"/>
        <w:adjustRightInd/>
        <w:spacing w:line="600" w:lineRule="atLeast"/>
        <w:ind w:firstLine="640" w:firstLineChars="200"/>
        <w:textAlignment w:val="auto"/>
        <w:outlineLvl w:val="9"/>
        <w:rPr>
          <w:rFonts w:hint="eastAsia" w:ascii="方正仿宋_GBK" w:hAnsi="仿宋_GB2312" w:eastAsia="方正仿宋_GBK" w:cs="仿宋_GB2312"/>
          <w:sz w:val="32"/>
        </w:rPr>
      </w:pPr>
      <w:r>
        <w:rPr>
          <w:rFonts w:hint="eastAsia" w:ascii="方正仿宋_GBK" w:hAnsi="仿宋_GB2312" w:eastAsia="方正仿宋_GBK" w:cs="仿宋_GB2312"/>
          <w:sz w:val="32"/>
        </w:rPr>
        <w:t>2022年“三公”经费预算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万元。其中：因公出国（境）费用</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万元；公务接待费</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万元；公务用车运行维护费</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万元；公务用车购置费</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方正仿宋_GBK" w:eastAsia="方正仿宋_GBK" w:cs="方正仿宋_GBK"/>
          <w:color w:val="auto"/>
          <w:sz w:val="32"/>
          <w:szCs w:val="32"/>
        </w:rPr>
        <w:t>主要原因是项目跨年度执行。</w:t>
      </w:r>
    </w:p>
    <w:p>
      <w:pPr>
        <w:spacing w:line="600" w:lineRule="exact"/>
        <w:ind w:left="640"/>
        <w:rPr>
          <w:rFonts w:hint="eastAsia" w:ascii="方正仿宋_GBK" w:hAnsi="仿宋_GB2312" w:eastAsia="方正仿宋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 xml:space="preserve">2、政府采购情况。所属各预算单位政府采购预算总额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万元；其中一般公共预算拨款政府采购</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万元、政府采购工程预算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万元。</w:t>
      </w:r>
    </w:p>
    <w:p>
      <w:pPr>
        <w:keepNext w:val="0"/>
        <w:keepLines w:val="0"/>
        <w:pageBreakBefore w:val="0"/>
        <w:kinsoku/>
        <w:wordWrap/>
        <w:overflowPunct/>
        <w:topLinePunct w:val="0"/>
        <w:autoSpaceDE/>
        <w:autoSpaceDN/>
        <w:bidi w:val="0"/>
        <w:adjustRightInd/>
        <w:spacing w:line="600" w:lineRule="atLeast"/>
        <w:ind w:firstLine="640" w:firstLineChars="200"/>
        <w:textAlignment w:val="auto"/>
        <w:outlineLvl w:val="9"/>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rPr>
        <w:t>4、</w:t>
      </w:r>
      <w:r>
        <w:rPr>
          <w:rFonts w:hint="eastAsia" w:ascii="方正仿宋_GBK" w:hAnsi="方正仿宋_GBK" w:eastAsia="方正仿宋_GBK" w:cs="方正仿宋_GBK"/>
          <w:color w:val="auto"/>
          <w:sz w:val="32"/>
          <w:szCs w:val="32"/>
        </w:rPr>
        <w:t>国有资产占用情况说明。</w:t>
      </w:r>
      <w:r>
        <w:rPr>
          <w:rFonts w:hint="eastAsia" w:ascii="方正仿宋_GBK" w:hAnsi="方正仿宋_GBK" w:eastAsia="方正仿宋_GBK" w:cs="方正仿宋_GBK"/>
          <w:color w:val="auto"/>
          <w:sz w:val="32"/>
          <w:szCs w:val="32"/>
          <w:lang w:val="en-US" w:eastAsia="zh-CN"/>
        </w:rPr>
        <w:t>截至</w:t>
      </w:r>
      <w:r>
        <w:rPr>
          <w:rFonts w:hint="eastAsia" w:ascii="方正仿宋_GBK" w:hAnsi="方正仿宋_GBK" w:eastAsia="方正仿宋_GBK" w:cs="方正仿宋_GBK"/>
          <w:color w:val="auto"/>
          <w:sz w:val="32"/>
          <w:szCs w:val="32"/>
        </w:rPr>
        <w:t>202</w:t>
      </w: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年12月31日，本部门共有车辆1辆，特种专业技术120急救车用车1辆。单价50万元（含）以上通用设备0台（套），单价100万元（含）以上专用设备0台（套）。</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eastAsia" w:ascii="仿宋_GB2312" w:hAnsi="仿宋_GB2312" w:eastAsia="仿宋_GB2312" w:cs="仿宋_GB2312"/>
          <w:b/>
          <w:sz w:val="32"/>
        </w:rPr>
      </w:pPr>
      <w:r>
        <w:rPr>
          <w:rFonts w:hint="eastAsia" w:ascii="方正仿宋_GBK" w:hAnsi="仿宋_GB2312" w:eastAsia="方正仿宋_GBK" w:cs="仿宋_GB2312"/>
          <w:b/>
          <w:sz w:val="32"/>
        </w:rPr>
        <w:t>部门预算公开联系人：</w:t>
      </w:r>
      <w:r>
        <w:rPr>
          <w:rFonts w:hint="eastAsia" w:ascii="方正仿宋_GBK" w:hAnsi="仿宋_GB2312" w:eastAsia="方正仿宋_GBK" w:cs="仿宋_GB2312"/>
          <w:b/>
          <w:sz w:val="32"/>
          <w:lang w:val="en-US" w:eastAsia="zh-CN"/>
        </w:rPr>
        <w:t>蔡慧旭</w:t>
      </w:r>
      <w:r>
        <w:rPr>
          <w:rFonts w:hint="eastAsia" w:ascii="方正仿宋_GBK" w:hAnsi="仿宋_GB2312" w:eastAsia="方正仿宋_GBK" w:cs="仿宋_GB2312"/>
          <w:b/>
          <w:sz w:val="32"/>
        </w:rPr>
        <w:t xml:space="preserve">  　联系方式：</w:t>
      </w:r>
      <w:r>
        <w:rPr>
          <w:rFonts w:hint="eastAsia" w:ascii="方正仿宋_GBK" w:hAnsi="仿宋_GB2312" w:eastAsia="方正仿宋_GBK" w:cs="仿宋_GB2312"/>
          <w:b/>
          <w:sz w:val="32"/>
          <w:lang w:val="en-US" w:eastAsia="zh-CN"/>
        </w:rPr>
        <w:t>17783364237</w:t>
      </w:r>
      <w:r>
        <w:rPr>
          <w:rFonts w:hint="eastAsia" w:ascii="方正仿宋_GBK" w:hAnsi="仿宋_GB2312" w:eastAsia="方正仿宋_GBK" w:cs="仿宋_GB2312"/>
          <w:b/>
          <w:sz w:val="32"/>
        </w:rPr>
        <w:t>　　</w:t>
      </w:r>
      <w:r>
        <w:rPr>
          <w:rFonts w:hint="eastAsia" w:ascii="方正仿宋_GBK" w:hAnsi="Calibri" w:eastAsia="方正仿宋_GBK"/>
          <w:b/>
          <w:sz w:val="32"/>
        </w:rPr>
        <w:t>（</w:t>
      </w:r>
      <w:r>
        <w:rPr>
          <w:rFonts w:hint="eastAsia" w:ascii="方正仿宋_GBK" w:hAnsi="Calibri" w:eastAsia="方正仿宋_GBK"/>
          <w:b/>
          <w:sz w:val="32"/>
          <w:lang w:val="en-US" w:eastAsia="zh-CN"/>
        </w:rPr>
        <w:t>刘裕昆</w:t>
      </w:r>
      <w:r>
        <w:rPr>
          <w:rFonts w:hint="eastAsia" w:ascii="方正仿宋_GBK" w:hAnsi="Calibri" w:eastAsia="方正仿宋_GBK"/>
          <w:b/>
          <w:sz w:val="32"/>
        </w:rPr>
        <w:t>，电话：023-</w:t>
      </w:r>
      <w:r>
        <w:rPr>
          <w:rFonts w:hint="eastAsia" w:ascii="方正仿宋_GBK" w:hAnsi="Calibri" w:eastAsia="方正仿宋_GBK"/>
          <w:b/>
          <w:sz w:val="32"/>
          <w:lang w:val="en-US" w:eastAsia="zh-CN"/>
        </w:rPr>
        <w:t>52488109</w:t>
      </w:r>
      <w:r>
        <w:rPr>
          <w:rFonts w:hint="eastAsia" w:ascii="方正仿宋_GBK" w:hAnsi="Calibri" w:eastAsia="方正仿宋_GBK"/>
          <w:b/>
          <w:sz w:val="3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DD04C7"/>
    <w:rsid w:val="3E3A7FC9"/>
    <w:rsid w:val="56D270D9"/>
    <w:rsid w:val="596E110C"/>
    <w:rsid w:val="73DF2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2022-02-10T08:23:00Z</dcterms:created>
  <dc:creator>Administrator</dc:creator>
  <cp:lastModifiedBy>DELL</cp:lastModifiedBy>
  <dcterms:modified xsi:type="dcterms:W3CDTF">2022-02-16T10:41:09Z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FF9F219F293D4104AF75958B3DB458BB</vt:lpwstr>
  </property>
</Properties>
</file>