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仿宋_GBK" w:hAnsi="华文中宋" w:eastAsia="方正仿宋_GBK" w:cs="华文中宋"/>
          <w:b/>
          <w:sz w:val="32"/>
          <w:szCs w:val="32"/>
        </w:rPr>
      </w:pPr>
    </w:p>
    <w:p>
      <w:pPr>
        <w:spacing w:line="600" w:lineRule="exact"/>
        <w:jc w:val="center"/>
        <w:rPr>
          <w:rFonts w:hint="eastAsia" w:ascii="方正小标宋_GBK" w:hAnsi="方正小标宋_GBK" w:eastAsia="方正小标宋_GBK" w:cs="方正小标宋_GBK"/>
          <w:b w:val="0"/>
          <w:bCs/>
          <w:sz w:val="44"/>
          <w:szCs w:val="44"/>
        </w:rPr>
      </w:pPr>
      <w:r>
        <w:rPr>
          <w:rFonts w:hint="eastAsia" w:ascii="方正小标宋_GBK" w:hAnsi="方正小标宋_GBK" w:eastAsia="方正小标宋_GBK" w:cs="方正小标宋_GBK"/>
          <w:b w:val="0"/>
          <w:bCs/>
          <w:sz w:val="44"/>
          <w:szCs w:val="44"/>
        </w:rPr>
        <w:t>重庆市开州区和谦镇卫生院</w:t>
      </w:r>
    </w:p>
    <w:p>
      <w:pPr>
        <w:spacing w:line="600" w:lineRule="exact"/>
        <w:jc w:val="center"/>
        <w:rPr>
          <w:rFonts w:hint="eastAsia" w:ascii="方正小标宋_GBK" w:hAnsi="方正小标宋_GBK" w:eastAsia="方正小标宋_GBK" w:cs="方正小标宋_GBK"/>
          <w:b w:val="0"/>
          <w:bCs/>
          <w:sz w:val="44"/>
          <w:szCs w:val="44"/>
        </w:rPr>
      </w:pPr>
      <w:r>
        <w:rPr>
          <w:rFonts w:hint="eastAsia" w:ascii="方正小标宋_GBK" w:hAnsi="方正小标宋_GBK" w:eastAsia="方正小标宋_GBK" w:cs="方正小标宋_GBK"/>
          <w:b w:val="0"/>
          <w:bCs/>
          <w:sz w:val="44"/>
          <w:szCs w:val="44"/>
        </w:rPr>
        <w:t>2022年部门预算情况说明</w:t>
      </w:r>
    </w:p>
    <w:p>
      <w:pPr>
        <w:spacing w:line="600" w:lineRule="exact"/>
        <w:ind w:firstLine="640" w:firstLineChars="200"/>
        <w:jc w:val="center"/>
        <w:rPr>
          <w:rFonts w:hint="eastAsia" w:ascii="方正仿宋_GBK" w:hAnsi="方正仿宋_GBK" w:eastAsia="方正仿宋_GBK" w:cs="方正仿宋_GBK"/>
          <w:sz w:val="32"/>
          <w:szCs w:val="32"/>
        </w:rPr>
      </w:pPr>
    </w:p>
    <w:p>
      <w:pPr>
        <w:spacing w:line="600" w:lineRule="exact"/>
        <w:ind w:left="640"/>
        <w:rPr>
          <w:rFonts w:ascii="方正黑体_GBK" w:hAnsi="黑体" w:eastAsia="方正黑体_GBK" w:cs="仿宋_GB2312"/>
          <w:sz w:val="32"/>
        </w:rPr>
      </w:pPr>
      <w:r>
        <w:rPr>
          <w:rFonts w:hint="eastAsia" w:ascii="方正黑体_GBK" w:hAnsi="黑体" w:eastAsia="方正黑体_GBK" w:cs="仿宋_GB2312"/>
          <w:sz w:val="32"/>
        </w:rPr>
        <w:t>一、单位基本情况</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（一）职能职责</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我院是一所集基本医疗、基本公共卫生、预防保健、健康教育为一体的综合性一级甲等医院。一是负责本辖区的卫生工作、法律法规、政策的贯彻，卫生事业发展规划和工作计划的制定，为辖区居民提供12大类基本公共卫生服务；二是负责辖区突发公共卫生事件的报告，并依据上级部门要求组织实施处置等工作；三是为辖区提供基本医疗服务，并承担本镇及周边乡镇的现场急救和转诊服务等工作；四是负责本辖区卫生信息统计、分析、上报；五是负责对辖区村卫生室和乡村医生的业务指导培训；六是负责卫生行政主管部门委托的相关业务或事项，落实上级卫生主管部门下达的其他工作。七是承办上级主管部门及政府交办的其他事项。  </w:t>
      </w:r>
      <w:r>
        <w:rPr>
          <w:rFonts w:hint="eastAsia" w:ascii="方正仿宋_GBK" w:hAnsi="方正仿宋_GBK" w:eastAsia="方正仿宋_GBK" w:cs="方正仿宋_GBK"/>
          <w:b/>
          <w:bCs/>
          <w:sz w:val="32"/>
          <w:szCs w:val="32"/>
          <w:shd w:val="clear" w:color="auto" w:fill="FFFFFF"/>
        </w:rPr>
        <w:t xml:space="preserve">   </w:t>
      </w:r>
      <w:r>
        <w:rPr>
          <w:rFonts w:hint="eastAsia" w:ascii="方正楷体_GBK" w:hAnsi="方正楷体_GBK" w:eastAsia="方正楷体_GBK"/>
          <w:b/>
          <w:bCs/>
          <w:sz w:val="32"/>
          <w:szCs w:val="32"/>
          <w:shd w:val="clear" w:color="auto" w:fill="FFFFFF"/>
        </w:rPr>
        <w:t xml:space="preserve"> </w:t>
      </w:r>
    </w:p>
    <w:p>
      <w:pPr>
        <w:tabs>
          <w:tab w:val="center" w:pos="4153"/>
          <w:tab w:val="left" w:pos="7275"/>
        </w:tabs>
        <w:spacing w:line="600" w:lineRule="exact"/>
        <w:ind w:left="640"/>
        <w:jc w:val="left"/>
        <w:rPr>
          <w:rFonts w:ascii="方正仿宋_GBK" w:hAnsi="仿宋_GB2312" w:eastAsia="方正仿宋_GBK" w:cs="仿宋_GB2312"/>
          <w:sz w:val="32"/>
          <w:szCs w:val="22"/>
        </w:rPr>
      </w:pPr>
      <w:r>
        <w:rPr>
          <w:rFonts w:hint="eastAsia" w:ascii="方正仿宋_GBK" w:hAnsi="仿宋_GB2312" w:eastAsia="方正仿宋_GBK" w:cs="仿宋_GB2312"/>
          <w:sz w:val="32"/>
          <w:szCs w:val="22"/>
        </w:rPr>
        <w:t>（二）单位构成</w:t>
      </w:r>
    </w:p>
    <w:p>
      <w:pPr>
        <w:spacing w:line="600" w:lineRule="exact"/>
        <w:ind w:firstLine="640" w:firstLineChars="200"/>
        <w:rPr>
          <w:rFonts w:ascii="方正仿宋_GBK" w:hAnsi="仿宋_GB2312" w:eastAsia="方正仿宋_GBK" w:cs="仿宋_GB2312"/>
          <w:sz w:val="32"/>
        </w:rPr>
      </w:pPr>
      <w:r>
        <w:rPr>
          <w:rFonts w:hint="eastAsia" w:ascii="方正仿宋_GBK" w:hAnsi="方正仿宋_GBK" w:eastAsia="方正仿宋_GBK" w:cs="方正仿宋_GBK"/>
          <w:sz w:val="32"/>
          <w:szCs w:val="32"/>
        </w:rPr>
        <w:t>从预算单位构成看，本单位是二级预算单位，主管部门为重庆市开州区卫生健康委员会。我院编制床位70张，按重庆市开州区卫生健康委员会要求设置科室有预防保健科、内科、外科、妇产科、儿科、中医理疗科、急救科、放射科、检验科、彩超室、心脑电图室等业务科室和各职能科室。</w:t>
      </w:r>
    </w:p>
    <w:p>
      <w:pPr>
        <w:spacing w:line="600" w:lineRule="exact"/>
        <w:ind w:left="640"/>
        <w:rPr>
          <w:rFonts w:ascii="方正仿宋_GBK" w:hAnsi="黑体" w:eastAsia="方正仿宋_GBK" w:cs="仿宋_GB2312"/>
          <w:sz w:val="32"/>
        </w:rPr>
      </w:pPr>
      <w:r>
        <w:rPr>
          <w:rFonts w:hint="eastAsia" w:ascii="方正黑体_GBK" w:hAnsi="黑体" w:eastAsia="方正黑体_GBK" w:cs="仿宋_GB2312"/>
          <w:sz w:val="32"/>
        </w:rPr>
        <w:t>二、部门收支总体情况</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（一）收入预算：2022年年初预算数 1836.19万元，其中：一般公共预算拨款336.19万元，政府性基金预算拨款0万元，国有资本经营预算收入0万元，事业收入0万元，事业单位经营收入 1500万元，其他收入0万元。收入较2021年增加 214.43万元，主要是业务经营收入增加及经费拨款增加29.92 万元。</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（二）支出预算：2022年年初预算数 1836.19万元，其中：一般公共服务支出预算0万元，教育支出预算0万元，社会保障和就业支出预算96.39万元，卫生健康支出预算 1602.21万元，住房保障支出预算29.71万元。支出预算较2021年增加 214.43万元，主要是基本支出预算增加 214.43万元，项目支出预算增加0万元。</w:t>
      </w:r>
    </w:p>
    <w:p>
      <w:pPr>
        <w:spacing w:line="600" w:lineRule="exact"/>
        <w:ind w:left="640"/>
        <w:rPr>
          <w:rFonts w:ascii="方正黑体_GBK" w:hAnsi="黑体" w:eastAsia="方正黑体_GBK" w:cs="仿宋_GB2312"/>
          <w:sz w:val="32"/>
        </w:rPr>
      </w:pPr>
      <w:r>
        <w:rPr>
          <w:rFonts w:hint="eastAsia" w:ascii="方正黑体_GBK" w:hAnsi="黑体" w:eastAsia="方正黑体_GBK" w:cs="仿宋_GB2312"/>
          <w:sz w:val="32"/>
        </w:rPr>
        <w:t>三、部门预算情况说明</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2022年一般公共预算财政拨款收入336.19万元，一般公共预算财政拨款支出336.19万元，比2021年增加29.92万元。其中：基本支出336.19万元，比2021年增加29.92万元，主要原因是用于保障在职人员工资福利及社会保险缴费，离休人员离休费，退休人员补助等，保障部门正常运转的各项商品服务支出；项目支出0万元，比2021年增加0万元。</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2022年政府性基金预算收入0万元，政府性基金预算支出0万元，比2021年增加（或减少）0万元。2022年无使用政府性基金预算拨款安排的支出。</w:t>
      </w:r>
    </w:p>
    <w:p>
      <w:pPr>
        <w:spacing w:line="600" w:lineRule="exact"/>
        <w:ind w:left="640"/>
        <w:rPr>
          <w:rFonts w:ascii="方正仿宋_GBK" w:hAnsi="黑体" w:eastAsia="方正仿宋_GBK" w:cs="仿宋_GB2312"/>
          <w:sz w:val="32"/>
        </w:rPr>
      </w:pPr>
      <w:r>
        <w:rPr>
          <w:rFonts w:hint="eastAsia" w:ascii="方正黑体_GBK" w:hAnsi="黑体" w:eastAsia="方正黑体_GBK" w:cs="仿宋_GB2312"/>
          <w:sz w:val="32"/>
        </w:rPr>
        <w:t>四、“三公”经费情况说明</w:t>
      </w:r>
    </w:p>
    <w:p>
      <w:pPr>
        <w:spacing w:line="62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我单位属于差额拨款单位，财政未保障我单位“三公”经费。</w:t>
      </w:r>
    </w:p>
    <w:p>
      <w:pPr>
        <w:spacing w:line="600" w:lineRule="exact"/>
        <w:ind w:left="640"/>
        <w:rPr>
          <w:rFonts w:ascii="方正黑体_GBK" w:hAnsi="黑体" w:eastAsia="方正黑体_GBK" w:cs="仿宋_GB2312"/>
          <w:sz w:val="32"/>
        </w:rPr>
      </w:pPr>
      <w:r>
        <w:rPr>
          <w:rFonts w:hint="eastAsia" w:ascii="方正黑体_GBK" w:hAnsi="黑体" w:eastAsia="方正黑体_GBK" w:cs="仿宋_GB2312"/>
          <w:sz w:val="32"/>
        </w:rPr>
        <w:t>五、其他重要事项的情况说明</w:t>
      </w:r>
    </w:p>
    <w:p>
      <w:pPr>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1、我单位不在机关运行经费统计范围之内。</w:t>
      </w:r>
    </w:p>
    <w:p>
      <w:pPr>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2、政府采购情况。所属各预算单位政府采购预算总额  万元：政府采购货物预算0万元、政府采购工程预算0万元、政府采购服务预算0万元；其中一般公共预算拨款政府采购  万元：政府采购货物预算0万元、政府采购工程预算0万元、政府采购服务预算 0万元。</w:t>
      </w:r>
    </w:p>
    <w:p>
      <w:pPr>
        <w:ind w:firstLine="640" w:firstLineChars="200"/>
        <w:rPr>
          <w:rFonts w:ascii="方正仿宋_GBK" w:hAnsi="仿宋_GB2312" w:eastAsia="方正仿宋_GBK" w:cs="仿宋_GB2312"/>
          <w:color w:val="000000"/>
          <w:sz w:val="32"/>
        </w:rPr>
      </w:pPr>
      <w:r>
        <w:rPr>
          <w:rFonts w:hint="eastAsia" w:ascii="方正仿宋_GBK" w:hAnsi="仿宋_GB2312" w:eastAsia="方正仿宋_GBK" w:cs="仿宋_GB2312"/>
          <w:sz w:val="32"/>
        </w:rPr>
        <w:t>3、绩效目标设置情况。</w:t>
      </w:r>
      <w:r>
        <w:rPr>
          <w:rFonts w:hint="eastAsia" w:ascii="方正仿宋_GBK" w:hAnsi="仿宋_GB2312" w:eastAsia="方正仿宋_GBK" w:cs="仿宋_GB2312"/>
          <w:color w:val="000000"/>
          <w:sz w:val="32"/>
        </w:rPr>
        <w:t>2022年项目支出均实行了绩效目标管理，涉及一般公共预算当年财政拨款0万元。</w:t>
      </w:r>
    </w:p>
    <w:p>
      <w:pPr>
        <w:ind w:firstLine="640" w:firstLineChars="200"/>
        <w:rPr>
          <w:rFonts w:ascii="方正仿宋_GBK" w:hAnsi="仿宋_GB2312" w:eastAsia="方正仿宋_GBK" w:cs="仿宋_GB2312"/>
          <w:color w:val="000000"/>
          <w:sz w:val="32"/>
        </w:rPr>
      </w:pPr>
      <w:r>
        <w:rPr>
          <w:rFonts w:hint="eastAsia" w:ascii="方正仿宋_GBK" w:hAnsi="仿宋_GB2312" w:eastAsia="方正仿宋_GBK" w:cs="仿宋_GB2312"/>
          <w:color w:val="000000"/>
          <w:sz w:val="32"/>
        </w:rPr>
        <w:t>4、国有资产占有使用情况。</w:t>
      </w:r>
      <w:r>
        <w:rPr>
          <w:rFonts w:hint="eastAsia" w:ascii="方正仿宋_GBK" w:hAnsi="仿宋_GB2312" w:eastAsia="方正仿宋_GBK" w:cs="仿宋_GB2312"/>
          <w:color w:val="000000"/>
          <w:sz w:val="32"/>
          <w:lang w:val="en-US" w:eastAsia="zh-CN"/>
        </w:rPr>
        <w:t>截至</w:t>
      </w:r>
      <w:r>
        <w:rPr>
          <w:rFonts w:hint="eastAsia" w:ascii="方正仿宋_GBK" w:hAnsi="仿宋_GB2312" w:eastAsia="方正仿宋_GBK" w:cs="仿宋_GB2312"/>
          <w:color w:val="000000"/>
          <w:sz w:val="32"/>
        </w:rPr>
        <w:t>2021年12月，所属各预算单位共有车辆1辆，其中一般公务用</w:t>
      </w:r>
      <w:r>
        <w:rPr>
          <w:rFonts w:hint="eastAsia" w:ascii="方正仿宋_GBK" w:hAnsi="仿宋_GB2312" w:eastAsia="方正仿宋_GBK" w:cs="仿宋_GB2312"/>
          <w:color w:val="000000"/>
          <w:sz w:val="32"/>
          <w:lang w:val="en-US" w:eastAsia="zh-CN"/>
        </w:rPr>
        <w:t>车</w:t>
      </w:r>
      <w:bookmarkStart w:id="0" w:name="_GoBack"/>
      <w:bookmarkEnd w:id="0"/>
      <w:r>
        <w:rPr>
          <w:rFonts w:hint="eastAsia" w:ascii="方正仿宋_GBK" w:hAnsi="仿宋_GB2312" w:eastAsia="方正仿宋_GBK" w:cs="仿宋_GB2312"/>
          <w:color w:val="000000"/>
          <w:sz w:val="32"/>
        </w:rPr>
        <w:t>1辆、执勤执法用车0辆。2022年一般公共预算安排购置车辆0辆，其中一般公务用车0辆、执勤执法用车0辆。</w:t>
      </w:r>
    </w:p>
    <w:p>
      <w:pPr>
        <w:spacing w:line="600" w:lineRule="exact"/>
        <w:ind w:left="640"/>
        <w:rPr>
          <w:rFonts w:ascii="方正黑体_GBK" w:hAnsi="黑体" w:eastAsia="方正黑体_GBK" w:cs="仿宋_GB2312"/>
          <w:sz w:val="32"/>
        </w:rPr>
      </w:pPr>
      <w:r>
        <w:rPr>
          <w:rFonts w:hint="eastAsia" w:ascii="方正黑体_GBK" w:hAnsi="黑体" w:eastAsia="方正黑体_GBK" w:cs="仿宋_GB2312"/>
          <w:sz w:val="32"/>
        </w:rPr>
        <w:t>六、专业性名词解释</w:t>
      </w:r>
    </w:p>
    <w:p>
      <w:pPr>
        <w:tabs>
          <w:tab w:val="center" w:pos="4153"/>
          <w:tab w:val="left" w:pos="7275"/>
        </w:tabs>
        <w:spacing w:line="600" w:lineRule="exact"/>
        <w:ind w:firstLine="640" w:firstLineChars="200"/>
        <w:jc w:val="left"/>
        <w:rPr>
          <w:rFonts w:ascii="方正仿宋_GBK" w:hAnsi="Calibri" w:eastAsia="方正仿宋_GBK"/>
          <w:sz w:val="32"/>
          <w:szCs w:val="32"/>
        </w:rPr>
      </w:pPr>
      <w:r>
        <w:rPr>
          <w:rFonts w:hint="eastAsia" w:ascii="方正仿宋_GBK" w:hAnsi="Calibri" w:eastAsia="方正仿宋_GBK"/>
          <w:sz w:val="32"/>
          <w:szCs w:val="32"/>
        </w:rPr>
        <w:t>（一）财政拨款收入：指本年度从本级财政部门取得的财政拨款，包括一般公共预算财政拨款和政府性基金预算财政拨款。</w:t>
      </w:r>
    </w:p>
    <w:p>
      <w:pPr>
        <w:tabs>
          <w:tab w:val="center" w:pos="4153"/>
          <w:tab w:val="left" w:pos="7275"/>
        </w:tabs>
        <w:spacing w:line="600" w:lineRule="exact"/>
        <w:ind w:firstLine="640" w:firstLineChars="200"/>
        <w:jc w:val="left"/>
        <w:rPr>
          <w:rFonts w:ascii="方正仿宋_GBK" w:hAnsi="Calibri" w:eastAsia="方正仿宋_GBK"/>
          <w:sz w:val="32"/>
          <w:szCs w:val="32"/>
        </w:rPr>
      </w:pPr>
      <w:r>
        <w:rPr>
          <w:rFonts w:hint="eastAsia" w:ascii="方正仿宋_GBK" w:hAnsi="Calibri" w:eastAsia="方正仿宋_GBK"/>
          <w:sz w:val="32"/>
          <w:szCs w:val="32"/>
        </w:rPr>
        <w:t>（二）其他收入：指单位取得的除“财政拨款收入”“事业收入”“经营收入”等以外的收入。</w:t>
      </w:r>
    </w:p>
    <w:p>
      <w:pPr>
        <w:tabs>
          <w:tab w:val="center" w:pos="4153"/>
          <w:tab w:val="left" w:pos="7275"/>
        </w:tabs>
        <w:spacing w:line="600" w:lineRule="exact"/>
        <w:ind w:firstLine="640" w:firstLineChars="200"/>
        <w:jc w:val="left"/>
        <w:rPr>
          <w:rFonts w:ascii="方正仿宋_GBK" w:hAnsi="Calibri" w:eastAsia="方正仿宋_GBK"/>
          <w:sz w:val="32"/>
          <w:szCs w:val="32"/>
        </w:rPr>
      </w:pPr>
      <w:r>
        <w:rPr>
          <w:rFonts w:hint="eastAsia" w:ascii="方正仿宋_GBK" w:hAnsi="Calibri" w:eastAsia="方正仿宋_GBK"/>
          <w:sz w:val="32"/>
          <w:szCs w:val="32"/>
        </w:rPr>
        <w:t>（三）基本支出：指为保障机构正常运转、完成日常工作任务而发生的人员经费和公用经费。</w:t>
      </w:r>
    </w:p>
    <w:p>
      <w:pPr>
        <w:tabs>
          <w:tab w:val="center" w:pos="4153"/>
          <w:tab w:val="left" w:pos="7275"/>
        </w:tabs>
        <w:spacing w:line="600" w:lineRule="exact"/>
        <w:ind w:firstLine="640" w:firstLineChars="200"/>
        <w:jc w:val="left"/>
        <w:rPr>
          <w:rFonts w:ascii="方正仿宋_GBK" w:hAnsi="Calibri" w:eastAsia="方正仿宋_GBK"/>
          <w:sz w:val="32"/>
          <w:szCs w:val="32"/>
        </w:rPr>
      </w:pPr>
      <w:r>
        <w:rPr>
          <w:rFonts w:hint="eastAsia" w:ascii="方正仿宋_GBK" w:hAnsi="Calibri" w:eastAsia="方正仿宋_GBK"/>
          <w:sz w:val="32"/>
          <w:szCs w:val="32"/>
        </w:rPr>
        <w:t>（四）项目支出：指在基本支出之外为完成特定行政任务和事业发展目标所发生的支出。</w:t>
      </w:r>
    </w:p>
    <w:p>
      <w:pPr>
        <w:ind w:firstLine="640" w:firstLineChars="200"/>
        <w:rPr>
          <w:rFonts w:ascii="方正仿宋_GBK" w:hAnsi="仿宋_GB2312" w:eastAsia="方正仿宋_GBK" w:cs="仿宋_GB2312"/>
          <w:color w:val="000000"/>
          <w:sz w:val="32"/>
        </w:rPr>
      </w:pPr>
      <w:r>
        <w:rPr>
          <w:rFonts w:hint="eastAsia" w:ascii="方正仿宋_GBK" w:hAnsi="Calibri" w:eastAsia="方正仿宋_GBK"/>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3" w:firstLineChars="200"/>
        <w:rPr>
          <w:rFonts w:ascii="方正仿宋_GBK" w:hAnsi="仿宋_GB2312" w:eastAsia="方正仿宋_GBK" w:cs="仿宋_GB2312"/>
          <w:b/>
          <w:sz w:val="32"/>
        </w:rPr>
      </w:pPr>
      <w:r>
        <w:rPr>
          <w:rFonts w:hint="eastAsia" w:ascii="方正仿宋_GBK" w:hAnsi="仿宋_GB2312" w:eastAsia="方正仿宋_GBK" w:cs="仿宋_GB2312"/>
          <w:b/>
          <w:sz w:val="32"/>
        </w:rPr>
        <w:t>部门预算公开联系人：朱芳  　</w:t>
      </w:r>
    </w:p>
    <w:p>
      <w:pPr>
        <w:ind w:firstLine="643" w:firstLineChars="200"/>
        <w:rPr>
          <w:rFonts w:ascii="仿宋_GB2312" w:hAnsi="仿宋_GB2312" w:eastAsia="仿宋_GB2312" w:cs="仿宋_GB2312"/>
          <w:b/>
          <w:sz w:val="32"/>
        </w:rPr>
      </w:pPr>
      <w:r>
        <w:rPr>
          <w:rFonts w:hint="eastAsia" w:ascii="方正仿宋_GBK" w:hAnsi="仿宋_GB2312" w:eastAsia="方正仿宋_GBK" w:cs="仿宋_GB2312"/>
          <w:b/>
          <w:sz w:val="32"/>
        </w:rPr>
        <w:t>联系方式</w:t>
      </w:r>
      <w:r>
        <w:rPr>
          <w:rFonts w:hint="eastAsia" w:ascii="方正仿宋_GBK" w:hAnsi="Calibri" w:eastAsia="方正仿宋_GBK"/>
          <w:b/>
          <w:sz w:val="32"/>
        </w:rPr>
        <w:t>：023-52381111</w:t>
      </w:r>
    </w:p>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34890"/>
    <w:rsid w:val="0016146C"/>
    <w:rsid w:val="00434890"/>
    <w:rsid w:val="00554C9B"/>
    <w:rsid w:val="007A4067"/>
    <w:rsid w:val="00A26F4B"/>
    <w:rsid w:val="00B75118"/>
    <w:rsid w:val="00B877A4"/>
    <w:rsid w:val="00DC5DE6"/>
    <w:rsid w:val="00FA1018"/>
    <w:rsid w:val="04E90B5B"/>
    <w:rsid w:val="06180C06"/>
    <w:rsid w:val="0BD36ACB"/>
    <w:rsid w:val="1F15370B"/>
    <w:rsid w:val="21CC5BDA"/>
    <w:rsid w:val="2B3216B8"/>
    <w:rsid w:val="34A33399"/>
    <w:rsid w:val="34FA0097"/>
    <w:rsid w:val="52885C20"/>
    <w:rsid w:val="5C6F27AB"/>
    <w:rsid w:val="69902A2A"/>
    <w:rsid w:val="780B7AFD"/>
    <w:rsid w:val="7B0108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next w:val="3"/>
    <w:uiPriority w:val="0"/>
    <w:pPr>
      <w:tabs>
        <w:tab w:val="center" w:pos="4153"/>
        <w:tab w:val="right" w:pos="8306"/>
      </w:tabs>
      <w:snapToGrid w:val="0"/>
      <w:jc w:val="left"/>
    </w:pPr>
    <w:rPr>
      <w:sz w:val="18"/>
      <w:szCs w:val="18"/>
    </w:rPr>
  </w:style>
  <w:style w:type="paragraph" w:customStyle="1" w:styleId="3">
    <w:name w:val="索引 51"/>
    <w:basedOn w:val="1"/>
    <w:next w:val="1"/>
    <w:qFormat/>
    <w:uiPriority w:val="0"/>
    <w:pPr>
      <w:ind w:left="1680"/>
    </w:p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jc w:val="left"/>
    </w:pPr>
    <w:rPr>
      <w:rFonts w:ascii="宋体" w:hAnsi="宋体" w:cs="宋体"/>
      <w:kern w:val="0"/>
      <w:sz w:val="24"/>
    </w:rPr>
  </w:style>
  <w:style w:type="character" w:customStyle="1" w:styleId="8">
    <w:name w:val="页眉 Char"/>
    <w:basedOn w:val="6"/>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277</Words>
  <Characters>1582</Characters>
  <Lines>13</Lines>
  <Paragraphs>3</Paragraphs>
  <TotalTime>0</TotalTime>
  <ScaleCrop>false</ScaleCrop>
  <LinksUpToDate>false</LinksUpToDate>
  <CharactersWithSpaces>1856</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2022-02-10T03:01:00Z</dcterms:created>
  <dc:creator>Administrator</dc:creator>
  <cp:lastModifiedBy>DELL</cp:lastModifiedBy>
  <cp:lastPrinted>2022-02-10T08:13:00Z</cp:lastPrinted>
  <dcterms:modified xsi:type="dcterms:W3CDTF">2022-02-16T10:27:43Z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197A6471B5FE4E29B237C8126337717E</vt:lpwstr>
  </property>
</Properties>
</file>