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left" w:pos="8820"/>
          <w:tab w:val="left" w:pos="9000"/>
        </w:tabs>
        <w:ind w:firstLine="0" w:firstLineChars="0"/>
        <w:rPr>
          <w:rFonts w:hint="default" w:ascii="Times New Roman" w:hAnsi="Times New Roman" w:eastAsia="仿宋_GB2312" w:cs="Times New Roman"/>
          <w:lang w:val="en-US" w:eastAsia="zh-CN"/>
        </w:rPr>
      </w:pPr>
      <w:r>
        <w:rPr>
          <w:rFonts w:hint="eastAsia" w:cs="Times New Roman"/>
          <w:lang w:val="en-US" w:eastAsia="zh-CN"/>
        </w:rPr>
        <w:t xml:space="preserve"> </w:t>
      </w:r>
    </w:p>
    <w:p>
      <w:pPr>
        <w:pStyle w:val="12"/>
        <w:tabs>
          <w:tab w:val="left" w:pos="8820"/>
          <w:tab w:val="left" w:pos="9000"/>
        </w:tabs>
        <w:ind w:firstLine="0" w:firstLineChars="0"/>
        <w:rPr>
          <w:rFonts w:hint="default" w:ascii="Times New Roman" w:hAnsi="Times New Roman" w:cs="Times New Roman"/>
        </w:rPr>
      </w:pPr>
    </w:p>
    <w:p>
      <w:pPr>
        <w:pStyle w:val="12"/>
        <w:tabs>
          <w:tab w:val="left" w:pos="8820"/>
          <w:tab w:val="left" w:pos="9000"/>
        </w:tabs>
        <w:ind w:firstLine="0" w:firstLineChars="0"/>
        <w:rPr>
          <w:rFonts w:hint="default" w:ascii="Times New Roman" w:hAnsi="Times New Roman" w:cs="Times New Roman"/>
          <w:sz w:val="30"/>
          <w:szCs w:val="30"/>
        </w:rPr>
      </w:pPr>
    </w:p>
    <w:p>
      <w:pPr>
        <w:pStyle w:val="12"/>
        <w:keepNext w:val="0"/>
        <w:keepLines w:val="0"/>
        <w:pageBreakBefore w:val="0"/>
        <w:widowControl w:val="0"/>
        <w:tabs>
          <w:tab w:val="left" w:pos="8820"/>
          <w:tab w:val="left" w:pos="9000"/>
        </w:tabs>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仿宋" w:cs="Times New Roman"/>
        </w:rPr>
      </w:pPr>
      <w:r>
        <w:rPr>
          <w:rFonts w:hint="default" w:ascii="Times New Roman" w:hAnsi="Times New Roman" w:eastAsia="黑体" w:cs="Times New Roman"/>
          <w:sz w:val="36"/>
          <w:szCs w:val="36"/>
        </w:rPr>
        <w:pict>
          <v:shape id="_x0000_i1025" o:spt="136" type="#_x0000_t136" style="height:60pt;width:458.95pt;" fillcolor="#FF0000" filled="t" stroked="t" coordsize="21600,21600" adj="10800">
            <v:path/>
            <v:fill on="t" color2="#FFFFFF" focussize="0,0"/>
            <v:stroke weight="1.75pt" color="#FF0000"/>
            <v:imagedata o:title=""/>
            <o:lock v:ext="edit" aspectratio="f"/>
            <v:textpath on="t" fitshape="t" fitpath="t" trim="t" xscale="f" string="重庆市开州区城市公园管理中心" style="font-family:宋体;font-size:32pt;v-rotate-letters:f;v-same-letter-heights:f;v-text-align:center;v-text-spacing:58983f;"/>
            <w10:wrap type="none"/>
            <w10:anchorlock/>
          </v:shape>
        </w:pict>
      </w:r>
    </w:p>
    <w:p>
      <w:pPr>
        <w:pStyle w:val="12"/>
        <w:keepNext w:val="0"/>
        <w:keepLines w:val="0"/>
        <w:pageBreakBefore w:val="0"/>
        <w:widowControl w:val="0"/>
        <w:tabs>
          <w:tab w:val="left" w:pos="8820"/>
          <w:tab w:val="left" w:pos="9000"/>
        </w:tabs>
        <w:kinsoku/>
        <w:wordWrap/>
        <w:overflowPunct/>
        <w:topLinePunct w:val="0"/>
        <w:autoSpaceDE/>
        <w:autoSpaceDN/>
        <w:bidi w:val="0"/>
        <w:adjustRightInd/>
        <w:snapToGrid/>
        <w:spacing w:line="200" w:lineRule="exact"/>
        <w:ind w:left="0" w:leftChars="0" w:firstLine="0" w:firstLineChars="0"/>
        <w:textAlignment w:val="auto"/>
        <w:outlineLvl w:val="9"/>
        <w:rPr>
          <w:rFonts w:hint="default" w:ascii="Times New Roman" w:hAnsi="Times New Roman" w:eastAsia="仿宋" w:cs="Times New Roman"/>
        </w:rPr>
      </w:pPr>
    </w:p>
    <w:p>
      <w:pPr>
        <w:pStyle w:val="12"/>
        <w:keepNext w:val="0"/>
        <w:keepLines w:val="0"/>
        <w:pageBreakBefore w:val="0"/>
        <w:widowControl w:val="0"/>
        <w:tabs>
          <w:tab w:val="left" w:pos="8820"/>
          <w:tab w:val="left" w:pos="9000"/>
        </w:tabs>
        <w:kinsoku/>
        <w:wordWrap/>
        <w:overflowPunct/>
        <w:topLinePunct w:val="0"/>
        <w:autoSpaceDE/>
        <w:autoSpaceDN/>
        <w:bidi w:val="0"/>
        <w:adjustRightInd/>
        <w:snapToGrid/>
        <w:spacing w:line="600" w:lineRule="exact"/>
        <w:ind w:left="0" w:leftChars="0" w:firstLine="0" w:firstLineChars="0"/>
        <w:textAlignment w:val="auto"/>
        <w:outlineLvl w:val="9"/>
        <w:rPr>
          <w:rFonts w:hint="default" w:eastAsia="方正楷体简体"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开州公园文</w:t>
      </w:r>
      <w:r>
        <w:rPr>
          <w:rFonts w:hint="default" w:ascii="Times New Roman" w:hAnsi="Times New Roman" w:eastAsia="仿宋" w:cs="Times New Roman"/>
        </w:rPr>
        <w:t>〔20</w:t>
      </w:r>
      <w:r>
        <w:rPr>
          <w:rFonts w:hint="default" w:ascii="Times New Roman" w:hAnsi="Times New Roman" w:eastAsia="仿宋" w:cs="Times New Roman"/>
          <w:lang w:val="en-US" w:eastAsia="zh-CN"/>
        </w:rPr>
        <w:t>2</w:t>
      </w:r>
      <w:r>
        <w:rPr>
          <w:rFonts w:hint="eastAsia" w:eastAsia="仿宋" w:cs="Times New Roman"/>
          <w:lang w:val="en-US" w:eastAsia="zh-CN"/>
        </w:rPr>
        <w:t>5</w:t>
      </w:r>
      <w:r>
        <w:rPr>
          <w:rFonts w:hint="default" w:ascii="Times New Roman" w:hAnsi="Times New Roman" w:eastAsia="仿宋" w:cs="Times New Roman"/>
          <w:color w:val="auto"/>
        </w:rPr>
        <w:t>〕</w:t>
      </w:r>
      <w:r>
        <w:rPr>
          <w:rFonts w:hint="eastAsia" w:eastAsia="仿宋" w:cs="Times New Roman"/>
          <w:color w:val="auto"/>
          <w:lang w:val="en-US" w:eastAsia="zh-CN"/>
        </w:rPr>
        <w:t>1</w:t>
      </w:r>
      <w:r>
        <w:rPr>
          <w:rFonts w:hint="default" w:ascii="Times New Roman" w:hAnsi="Times New Roman" w:eastAsia="方正仿宋_GBK" w:cs="Times New Roman"/>
          <w:kern w:val="2"/>
          <w:sz w:val="32"/>
          <w:szCs w:val="32"/>
          <w:lang w:val="en-US" w:eastAsia="zh-CN" w:bidi="ar-SA"/>
        </w:rPr>
        <w:t>号</w:t>
      </w:r>
      <w:r>
        <w:rPr>
          <w:rFonts w:hint="default" w:ascii="Times New Roman" w:hAnsi="Times New Roman" w:eastAsia="仿宋" w:cs="Times New Roman"/>
          <w:color w:val="0000FF"/>
        </w:rPr>
        <w:t xml:space="preserve">   </w:t>
      </w:r>
      <w:r>
        <w:rPr>
          <w:rFonts w:hint="default" w:ascii="Times New Roman" w:hAnsi="Times New Roman" w:eastAsia="仿宋" w:cs="Times New Roman"/>
          <w:color w:val="0000FF"/>
          <w:lang w:val="en-US" w:eastAsia="zh-CN"/>
        </w:rPr>
        <w:t xml:space="preserve"> </w:t>
      </w:r>
      <w:r>
        <w:rPr>
          <w:rFonts w:hint="default" w:ascii="Times New Roman" w:hAnsi="Times New Roman" w:eastAsia="仿宋" w:cs="Times New Roman"/>
        </w:rPr>
        <w:t xml:space="preserve">        </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 xml:space="preserve"> </w:t>
      </w:r>
      <w:r>
        <w:rPr>
          <w:rFonts w:hint="default" w:ascii="Times New Roman" w:hAnsi="Times New Roman" w:eastAsia="仿宋" w:cs="Times New Roman"/>
          <w:lang w:val="en-US" w:eastAsia="zh-CN"/>
        </w:rPr>
        <w:t xml:space="preserve"> </w:t>
      </w:r>
      <w:r>
        <w:rPr>
          <w:rFonts w:hint="default" w:ascii="Times New Roman" w:hAnsi="Times New Roman" w:eastAsia="方正楷体_GBK" w:cs="Times New Roman"/>
        </w:rPr>
        <w:t>签发人</w:t>
      </w:r>
      <w:r>
        <w:rPr>
          <w:rFonts w:hint="default" w:ascii="Times New Roman" w:hAnsi="Times New Roman" w:eastAsia="方正楷体简体" w:cs="Times New Roman"/>
        </w:rPr>
        <w:t>：</w:t>
      </w:r>
      <w:r>
        <w:rPr>
          <w:rFonts w:hint="eastAsia" w:eastAsia="方正楷体简体" w:cs="Times New Roman"/>
          <w:lang w:val="en-US" w:eastAsia="zh-CN"/>
        </w:rPr>
        <w:t>曾维松</w:t>
      </w:r>
    </w:p>
    <w:p>
      <w:pPr>
        <w:pStyle w:val="12"/>
        <w:keepNext w:val="0"/>
        <w:keepLines w:val="0"/>
        <w:pageBreakBefore w:val="0"/>
        <w:widowControl w:val="0"/>
        <w:tabs>
          <w:tab w:val="left" w:pos="8820"/>
          <w:tab w:val="left" w:pos="9000"/>
        </w:tabs>
        <w:kinsoku/>
        <w:wordWrap/>
        <w:overflowPunct/>
        <w:topLinePunct w:val="0"/>
        <w:autoSpaceDE/>
        <w:autoSpaceDN/>
        <w:bidi w:val="0"/>
        <w:adjustRightInd/>
        <w:snapToGrid/>
        <w:spacing w:line="200" w:lineRule="exact"/>
        <w:ind w:left="0" w:leftChars="0" w:firstLine="0" w:firstLineChars="0"/>
        <w:textAlignment w:val="auto"/>
        <w:outlineLvl w:val="9"/>
        <w:rPr>
          <w:rFonts w:hint="default" w:ascii="Times New Roman" w:hAnsi="Times New Roman" w:eastAsia="方正仿宋简体" w:cs="Times New Roman"/>
          <w:lang w:eastAsia="zh-CN"/>
        </w:rPr>
      </w:pPr>
      <w:r>
        <w:rPr>
          <w:rFonts w:eastAsia="方正小标宋简体"/>
          <w:sz w:val="42"/>
          <w:szCs w:val="44"/>
          <w:u w:val="thick" w:color="FF0000"/>
        </w:rPr>
        <w:t xml:space="preserve">        </w:t>
      </w:r>
      <w:r>
        <w:rPr>
          <w:rFonts w:hint="eastAsia" w:eastAsia="方正小标宋简体"/>
          <w:sz w:val="42"/>
          <w:szCs w:val="44"/>
          <w:u w:val="thick" w:color="FF0000"/>
          <w:lang w:val="en-US" w:eastAsia="zh-CN"/>
        </w:rPr>
        <w:t xml:space="preserve">       </w:t>
      </w:r>
      <w:r>
        <w:rPr>
          <w:rFonts w:eastAsia="方正小标宋简体"/>
          <w:sz w:val="42"/>
          <w:szCs w:val="44"/>
          <w:u w:val="thick" w:color="FF0000"/>
        </w:rPr>
        <w:t xml:space="preserve">                </w:t>
      </w:r>
      <w:r>
        <w:rPr>
          <w:rFonts w:hint="eastAsia" w:eastAsia="方正小标宋简体"/>
          <w:sz w:val="42"/>
          <w:szCs w:val="44"/>
          <w:u w:val="thick" w:color="FF0000"/>
          <w:lang w:val="en-US" w:eastAsia="zh-CN"/>
        </w:rPr>
        <w:t xml:space="preserve">  </w:t>
      </w:r>
      <w:r>
        <w:rPr>
          <w:rFonts w:eastAsia="方正小标宋简体"/>
          <w:sz w:val="42"/>
          <w:szCs w:val="44"/>
          <w:u w:val="thick" w:color="FF0000"/>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color w:val="000000"/>
          <w:sz w:val="44"/>
          <w:szCs w:val="44"/>
        </w:rPr>
      </w:pPr>
    </w:p>
    <w:p>
      <w:pPr>
        <w:pStyle w:val="4"/>
        <w:keepNext w:val="0"/>
        <w:keepLines w:val="0"/>
        <w:pageBreakBefore w:val="0"/>
        <w:widowControl w:val="0"/>
        <w:kinsoku/>
        <w:wordWrap/>
        <w:overflowPunct w:val="0"/>
        <w:topLinePunct w:val="0"/>
        <w:autoSpaceDE/>
        <w:autoSpaceDN/>
        <w:bidi w:val="0"/>
        <w:adjustRightInd w:val="0"/>
        <w:snapToGrid w:val="0"/>
        <w:spacing w:before="0" w:after="0" w:line="600" w:lineRule="exact"/>
        <w:ind w:left="0" w:leftChars="0" w:right="0" w:firstLine="0" w:firstLineChars="0"/>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重庆市开州区</w:t>
      </w:r>
      <w:r>
        <w:rPr>
          <w:rFonts w:hint="eastAsia" w:ascii="Times New Roman" w:hAnsi="Times New Roman" w:eastAsia="方正小标宋_GBK" w:cs="Times New Roman"/>
          <w:b w:val="0"/>
          <w:bCs w:val="0"/>
          <w:sz w:val="44"/>
          <w:szCs w:val="44"/>
          <w:lang w:val="en-US" w:eastAsia="zh-CN"/>
        </w:rPr>
        <w:t>城市公园管理中心</w:t>
      </w:r>
    </w:p>
    <w:p>
      <w:pPr>
        <w:pStyle w:val="4"/>
        <w:keepNext w:val="0"/>
        <w:keepLines w:val="0"/>
        <w:pageBreakBefore w:val="0"/>
        <w:widowControl w:val="0"/>
        <w:kinsoku/>
        <w:wordWrap/>
        <w:overflowPunct w:val="0"/>
        <w:topLinePunct w:val="0"/>
        <w:autoSpaceDE/>
        <w:autoSpaceDN/>
        <w:bidi w:val="0"/>
        <w:adjustRightInd w:val="0"/>
        <w:snapToGrid w:val="0"/>
        <w:spacing w:before="0" w:after="0" w:line="600" w:lineRule="exact"/>
        <w:ind w:left="0" w:leftChars="0" w:right="0" w:firstLine="0" w:firstLineChars="0"/>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关于</w:t>
      </w:r>
      <w:r>
        <w:rPr>
          <w:rFonts w:hint="eastAsia" w:ascii="Times New Roman" w:hAnsi="Times New Roman" w:eastAsia="方正小标宋_GBK" w:cs="Times New Roman"/>
          <w:b w:val="0"/>
          <w:bCs w:val="0"/>
          <w:sz w:val="44"/>
          <w:szCs w:val="44"/>
          <w:lang w:val="en-US" w:eastAsia="zh-CN"/>
        </w:rPr>
        <w:t>2025</w:t>
      </w:r>
      <w:r>
        <w:rPr>
          <w:rFonts w:hint="default" w:ascii="Times New Roman" w:hAnsi="Times New Roman" w:eastAsia="方正小标宋_GBK" w:cs="Times New Roman"/>
          <w:b w:val="0"/>
          <w:bCs w:val="0"/>
          <w:sz w:val="44"/>
          <w:szCs w:val="44"/>
          <w:lang w:val="en-US" w:eastAsia="zh-CN"/>
        </w:rPr>
        <w:t>年部门预算情况公开的公告</w:t>
      </w:r>
    </w:p>
    <w:p>
      <w:pPr>
        <w:jc w:val="center"/>
        <w:rPr>
          <w:rFonts w:eastAsia="方正小标宋_GBK"/>
          <w:sz w:val="44"/>
          <w:szCs w:val="44"/>
          <w:highlight w:val="none"/>
        </w:rPr>
      </w:pPr>
    </w:p>
    <w:p>
      <w:pPr>
        <w:numPr>
          <w:ilvl w:val="0"/>
          <w:numId w:val="0"/>
        </w:numPr>
        <w:bidi w:val="0"/>
        <w:spacing w:line="600" w:lineRule="exact"/>
        <w:ind w:left="0" w:firstLine="640" w:firstLineChars="200"/>
        <w:rPr>
          <w:rFonts w:eastAsia="方正黑体_GBK"/>
          <w:sz w:val="32"/>
          <w:szCs w:val="32"/>
          <w:highlight w:val="none"/>
        </w:rPr>
      </w:pPr>
      <w:r>
        <w:rPr>
          <w:rFonts w:hint="default" w:ascii="Times New Roman" w:hAnsi="Times New Roman" w:eastAsia="方正仿宋_GBK" w:cs="Times New Roman"/>
          <w:sz w:val="32"/>
          <w:lang w:val="en-US" w:eastAsia="zh-CN"/>
        </w:rPr>
        <w:t>按照有关财政预算公开的部署和要求，依据《中华人民共和国政府信息公开条例》（国务院令第492号）和</w:t>
      </w:r>
      <w:r>
        <w:rPr>
          <w:rFonts w:hint="eastAsia" w:ascii="Times New Roman" w:hAnsi="Times New Roman" w:eastAsia="方正仿宋_GBK" w:cs="Times New Roman"/>
          <w:sz w:val="32"/>
          <w:lang w:val="en-US" w:eastAsia="zh-CN"/>
        </w:rPr>
        <w:t>重庆市开州区财政局</w:t>
      </w:r>
      <w:r>
        <w:rPr>
          <w:rFonts w:hint="default" w:ascii="Times New Roman" w:hAnsi="Times New Roman" w:eastAsia="方正仿宋_GBK" w:cs="Times New Roman"/>
          <w:sz w:val="32"/>
          <w:lang w:val="en-US" w:eastAsia="zh-CN"/>
        </w:rPr>
        <w:t>《关于批复</w:t>
      </w:r>
      <w:r>
        <w:rPr>
          <w:rFonts w:hint="eastAsia" w:ascii="Times New Roman" w:hAnsi="Times New Roman" w:eastAsia="方正仿宋_GBK" w:cs="Times New Roman"/>
          <w:sz w:val="32"/>
          <w:lang w:val="en-US" w:eastAsia="zh-CN"/>
        </w:rPr>
        <w:t>2025</w:t>
      </w:r>
      <w:r>
        <w:rPr>
          <w:rFonts w:hint="default" w:ascii="Times New Roman" w:hAnsi="Times New Roman" w:eastAsia="方正仿宋_GBK" w:cs="Times New Roman"/>
          <w:sz w:val="32"/>
          <w:lang w:val="en-US" w:eastAsia="zh-CN"/>
        </w:rPr>
        <w:t>年部门预算的通知》（</w:t>
      </w:r>
      <w:r>
        <w:rPr>
          <w:rFonts w:hint="eastAsia" w:ascii="Times New Roman" w:hAnsi="Times New Roman" w:eastAsia="方正仿宋_GBK" w:cs="Times New Roman"/>
          <w:sz w:val="32"/>
          <w:lang w:val="en-US" w:eastAsia="zh-CN"/>
        </w:rPr>
        <w:t>开州财建发〔2025〕20号</w:t>
      </w:r>
      <w:r>
        <w:rPr>
          <w:rFonts w:hint="default" w:ascii="Times New Roman" w:hAnsi="Times New Roman" w:eastAsia="方正仿宋_GBK" w:cs="Times New Roman"/>
          <w:sz w:val="32"/>
          <w:lang w:val="en-US" w:eastAsia="zh-CN"/>
        </w:rPr>
        <w:t>）</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sz w:val="32"/>
          <w:lang w:val="en-US" w:eastAsia="zh-CN"/>
        </w:rPr>
        <w:t>现将</w:t>
      </w:r>
      <w:r>
        <w:rPr>
          <w:rFonts w:hint="eastAsia" w:ascii="Times New Roman" w:hAnsi="Times New Roman" w:eastAsia="方正仿宋_GBK" w:cs="Times New Roman"/>
          <w:sz w:val="32"/>
          <w:lang w:val="en-US" w:eastAsia="zh-CN"/>
        </w:rPr>
        <w:t>重庆市开州区</w:t>
      </w:r>
      <w:r>
        <w:rPr>
          <w:rFonts w:hint="eastAsia" w:eastAsia="方正仿宋_GBK" w:cs="Times New Roman"/>
          <w:sz w:val="32"/>
          <w:lang w:val="en-US" w:eastAsia="zh-CN"/>
        </w:rPr>
        <w:t>城市公园管理</w:t>
      </w:r>
      <w:r>
        <w:rPr>
          <w:rFonts w:hint="eastAsia" w:ascii="Times New Roman" w:hAnsi="Times New Roman" w:eastAsia="方正仿宋_GBK" w:cs="Times New Roman"/>
          <w:sz w:val="32"/>
          <w:lang w:val="en-US" w:eastAsia="zh-CN"/>
        </w:rPr>
        <w:t>中心2025</w:t>
      </w:r>
      <w:r>
        <w:rPr>
          <w:rFonts w:hint="default" w:ascii="Times New Roman" w:hAnsi="Times New Roman" w:eastAsia="方正仿宋_GBK" w:cs="Times New Roman"/>
          <w:sz w:val="32"/>
          <w:lang w:val="en-US" w:eastAsia="zh-CN"/>
        </w:rPr>
        <w:t>年部门预算批复情况公开如下：</w:t>
      </w:r>
    </w:p>
    <w:p>
      <w:pPr>
        <w:pStyle w:val="4"/>
        <w:keepNext w:val="0"/>
        <w:keepLines w:val="0"/>
        <w:pageBreakBefore w:val="0"/>
        <w:widowControl w:val="0"/>
        <w:kinsoku/>
        <w:wordWrap/>
        <w:overflowPunct w:val="0"/>
        <w:topLinePunct w:val="0"/>
        <w:autoSpaceDE/>
        <w:autoSpaceDN/>
        <w:bidi w:val="0"/>
        <w:adjustRightInd w:val="0"/>
        <w:snapToGrid w:val="0"/>
        <w:spacing w:before="0" w:after="0" w:line="600" w:lineRule="exact"/>
        <w:ind w:left="0" w:leftChars="0" w:right="0" w:firstLine="0" w:firstLineChars="0"/>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br w:type="page"/>
      </w:r>
      <w:r>
        <w:rPr>
          <w:rFonts w:hint="eastAsia" w:ascii="Times New Roman" w:hAnsi="Times New Roman" w:eastAsia="方正小标宋_GBK" w:cs="Times New Roman"/>
          <w:b w:val="0"/>
          <w:bCs w:val="0"/>
          <w:sz w:val="44"/>
          <w:szCs w:val="44"/>
          <w:lang w:val="en-US" w:eastAsia="zh-CN"/>
        </w:rPr>
        <w:t>目    录</w:t>
      </w:r>
    </w:p>
    <w:p>
      <w:pPr>
        <w:rPr>
          <w:highlight w:val="none"/>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0" w:firstLineChars="0"/>
        <w:jc w:val="center"/>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第一部分：</w:t>
      </w:r>
      <w:r>
        <w:rPr>
          <w:rFonts w:hint="eastAsia" w:ascii="Times New Roman" w:hAnsi="Times New Roman" w:cs="Times New Roman"/>
          <w:sz w:val="32"/>
          <w:lang w:val="en-US" w:eastAsia="zh-CN"/>
        </w:rPr>
        <w:t>2025</w:t>
      </w:r>
      <w:r>
        <w:rPr>
          <w:rFonts w:hint="default" w:ascii="Times New Roman" w:hAnsi="Times New Roman" w:cs="Times New Roman"/>
          <w:sz w:val="32"/>
          <w:lang w:val="en-US" w:eastAsia="zh-CN"/>
        </w:rPr>
        <w:t>年部门预算情况说明</w:t>
      </w:r>
    </w:p>
    <w:p>
      <w:pPr>
        <w:keepNext w:val="0"/>
        <w:keepLines w:val="0"/>
        <w:pageBreakBefore w:val="0"/>
        <w:widowControl w:val="0"/>
        <w:kinsoku/>
        <w:wordWrap/>
        <w:overflowPunct/>
        <w:topLinePunct w:val="0"/>
        <w:autoSpaceDE/>
        <w:autoSpaceDN/>
        <w:bidi w:val="0"/>
        <w:adjustRightInd/>
        <w:snapToGrid/>
        <w:ind w:firstLine="0" w:firstLineChars="0"/>
        <w:textAlignment w:val="auto"/>
        <w:rPr>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0" w:firstLineChars="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一、</w:t>
      </w:r>
      <w:r>
        <w:rPr>
          <w:rFonts w:hint="default" w:ascii="Times New Roman" w:hAnsi="Times New Roman" w:eastAsia="方正仿宋_GBK" w:cs="Times New Roman"/>
          <w:sz w:val="32"/>
          <w:lang w:val="en-US" w:eastAsia="zh-CN"/>
        </w:rPr>
        <w:t>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0" w:firstLineChars="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二、</w:t>
      </w:r>
      <w:r>
        <w:rPr>
          <w:rFonts w:hint="default" w:ascii="Times New Roman" w:hAnsi="Times New Roman" w:eastAsia="方正仿宋_GBK" w:cs="Times New Roman"/>
          <w:sz w:val="32"/>
          <w:lang w:val="en-US" w:eastAsia="zh-CN"/>
        </w:rPr>
        <w:t>部门收支总体情况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0" w:firstLineChars="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三、</w:t>
      </w:r>
      <w:r>
        <w:rPr>
          <w:rFonts w:hint="default" w:ascii="Times New Roman" w:hAnsi="Times New Roman" w:eastAsia="方正仿宋_GBK" w:cs="Times New Roman"/>
          <w:sz w:val="32"/>
          <w:lang w:val="en-US" w:eastAsia="zh-CN"/>
        </w:rPr>
        <w:t>部门预算情况说明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0" w:firstLineChars="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四、</w:t>
      </w:r>
      <w:r>
        <w:rPr>
          <w:rFonts w:hint="eastAsia" w:ascii="Times New Roman" w:hAnsi="Times New Roman" w:eastAsia="方正仿宋_GBK" w:cs="Times New Roman"/>
          <w:sz w:val="32"/>
          <w:lang w:val="en-US" w:eastAsia="zh-CN"/>
        </w:rPr>
        <w:t>“三公”经费</w:t>
      </w:r>
      <w:r>
        <w:rPr>
          <w:rFonts w:hint="default" w:ascii="Times New Roman" w:hAnsi="Times New Roman" w:eastAsia="方正仿宋_GBK" w:cs="Times New Roman"/>
          <w:sz w:val="32"/>
          <w:lang w:val="en-US" w:eastAsia="zh-CN"/>
        </w:rPr>
        <w:t>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0" w:firstLineChars="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五、</w:t>
      </w:r>
      <w:r>
        <w:rPr>
          <w:rFonts w:hint="default" w:ascii="Times New Roman" w:hAnsi="Times New Roman" w:eastAsia="方正仿宋_GBK" w:cs="Times New Roman"/>
          <w:sz w:val="32"/>
          <w:lang w:val="en-US" w:eastAsia="zh-CN"/>
        </w:rPr>
        <w:t>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0" w:firstLineChars="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六、</w:t>
      </w:r>
      <w:r>
        <w:rPr>
          <w:rFonts w:hint="default" w:ascii="Times New Roman" w:hAnsi="Times New Roman" w:eastAsia="方正仿宋_GBK" w:cs="Times New Roman"/>
          <w:sz w:val="32"/>
          <w:lang w:val="en-US" w:eastAsia="zh-CN"/>
        </w:rPr>
        <w:t>专业性名词解释</w:t>
      </w:r>
    </w:p>
    <w:p>
      <w:pPr>
        <w:rPr>
          <w:rFonts w:eastAsia="方正仿宋_GBK"/>
          <w:sz w:val="32"/>
          <w:szCs w:val="32"/>
          <w:highlight w:val="none"/>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0" w:firstLineChars="0"/>
        <w:jc w:val="center"/>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第二部分：</w:t>
      </w:r>
      <w:r>
        <w:rPr>
          <w:rFonts w:hint="eastAsia" w:ascii="Times New Roman" w:hAnsi="Times New Roman" w:cs="Times New Roman"/>
          <w:sz w:val="32"/>
          <w:lang w:val="en-US" w:eastAsia="zh-CN"/>
        </w:rPr>
        <w:t>2025</w:t>
      </w:r>
      <w:r>
        <w:rPr>
          <w:rFonts w:hint="default" w:ascii="Times New Roman" w:hAnsi="Times New Roman" w:cs="Times New Roman"/>
          <w:sz w:val="32"/>
          <w:lang w:val="en-US" w:eastAsia="zh-CN"/>
        </w:rPr>
        <w:t>年部门预算</w:t>
      </w:r>
      <w:r>
        <w:rPr>
          <w:rFonts w:hint="eastAsia" w:ascii="Times New Roman" w:hAnsi="Times New Roman" w:cs="Times New Roman"/>
          <w:sz w:val="32"/>
          <w:lang w:val="en-US" w:eastAsia="zh-CN"/>
        </w:rPr>
        <w:t>公开报</w:t>
      </w:r>
      <w:r>
        <w:rPr>
          <w:rFonts w:hint="default" w:ascii="Times New Roman" w:hAnsi="Times New Roman" w:cs="Times New Roman"/>
          <w:sz w:val="32"/>
          <w:lang w:val="en-US" w:eastAsia="zh-CN"/>
        </w:rPr>
        <w:t>表</w:t>
      </w:r>
    </w:p>
    <w:p>
      <w:pPr>
        <w:rPr>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0" w:firstLineChars="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表1、</w:t>
      </w:r>
      <w:r>
        <w:rPr>
          <w:rFonts w:hint="eastAsia" w:ascii="Times New Roman" w:hAnsi="Times New Roman" w:eastAsia="方正仿宋_GBK" w:cs="Times New Roman"/>
          <w:sz w:val="32"/>
          <w:lang w:val="en-US" w:eastAsia="zh-CN"/>
        </w:rPr>
        <w:t>重庆市开州区城市公园管理中心收支预算总表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0" w:firstLineChars="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表2、</w:t>
      </w:r>
      <w:r>
        <w:rPr>
          <w:rFonts w:hint="eastAsia" w:ascii="Times New Roman" w:hAnsi="Times New Roman" w:eastAsia="方正仿宋_GBK" w:cs="Times New Roman"/>
          <w:sz w:val="32"/>
          <w:lang w:val="en-US" w:eastAsia="zh-CN"/>
        </w:rPr>
        <w:t>重庆市开州区城市公园管理中心</w:t>
      </w:r>
      <w:r>
        <w:rPr>
          <w:rFonts w:hint="default" w:ascii="Times New Roman" w:hAnsi="Times New Roman" w:eastAsia="方正仿宋_GBK" w:cs="Times New Roman"/>
          <w:sz w:val="32"/>
          <w:lang w:val="en-US" w:eastAsia="zh-CN"/>
        </w:rPr>
        <w:t>收入总表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0" w:firstLineChars="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表3、</w:t>
      </w:r>
      <w:r>
        <w:rPr>
          <w:rFonts w:hint="eastAsia" w:ascii="Times New Roman" w:hAnsi="Times New Roman" w:eastAsia="方正仿宋_GBK" w:cs="Times New Roman"/>
          <w:sz w:val="32"/>
          <w:lang w:val="en-US" w:eastAsia="zh-CN"/>
        </w:rPr>
        <w:t>重庆市开州区城市公园管理中心本年</w:t>
      </w:r>
      <w:r>
        <w:rPr>
          <w:rFonts w:hint="default" w:ascii="Times New Roman" w:hAnsi="Times New Roman" w:eastAsia="方正仿宋_GBK" w:cs="Times New Roman"/>
          <w:sz w:val="32"/>
          <w:lang w:val="en-US" w:eastAsia="zh-CN"/>
        </w:rPr>
        <w:t>支出</w:t>
      </w:r>
      <w:r>
        <w:rPr>
          <w:rFonts w:hint="eastAsia" w:ascii="Times New Roman" w:hAnsi="Times New Roman" w:eastAsia="方正仿宋_GBK" w:cs="Times New Roman"/>
          <w:sz w:val="32"/>
          <w:lang w:val="en-US" w:eastAsia="zh-CN"/>
        </w:rPr>
        <w:t>预算总</w:t>
      </w:r>
      <w:r>
        <w:rPr>
          <w:rFonts w:hint="default" w:ascii="Times New Roman" w:hAnsi="Times New Roman" w:eastAsia="方正仿宋_GBK" w:cs="Times New Roman"/>
          <w:sz w:val="32"/>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0" w:firstLineChars="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表4、</w:t>
      </w:r>
      <w:r>
        <w:rPr>
          <w:rFonts w:hint="eastAsia" w:ascii="Times New Roman" w:hAnsi="Times New Roman" w:eastAsia="方正仿宋_GBK" w:cs="Times New Roman"/>
          <w:sz w:val="32"/>
          <w:lang w:val="en-US" w:eastAsia="zh-CN"/>
        </w:rPr>
        <w:t>重庆市开州区城市公园管理中心</w:t>
      </w:r>
      <w:r>
        <w:rPr>
          <w:rFonts w:hint="default" w:ascii="Times New Roman" w:hAnsi="Times New Roman" w:eastAsia="方正仿宋_GBK" w:cs="Times New Roman"/>
          <w:sz w:val="32"/>
          <w:lang w:val="en-US" w:eastAsia="zh-CN"/>
        </w:rPr>
        <w:t>财政拨款收支</w:t>
      </w:r>
      <w:r>
        <w:rPr>
          <w:rFonts w:hint="eastAsia" w:ascii="Times New Roman" w:hAnsi="Times New Roman" w:eastAsia="方正仿宋_GBK" w:cs="Times New Roman"/>
          <w:sz w:val="32"/>
          <w:lang w:val="en-US" w:eastAsia="zh-CN"/>
        </w:rPr>
        <w:t>预算总</w:t>
      </w:r>
      <w:r>
        <w:rPr>
          <w:rFonts w:hint="default" w:ascii="Times New Roman" w:hAnsi="Times New Roman" w:eastAsia="方正仿宋_GBK" w:cs="Times New Roman"/>
          <w:sz w:val="32"/>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0" w:firstLineChars="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表5、</w:t>
      </w:r>
      <w:r>
        <w:rPr>
          <w:rFonts w:hint="eastAsia" w:ascii="Times New Roman" w:hAnsi="Times New Roman" w:eastAsia="方正仿宋_GBK" w:cs="Times New Roman"/>
          <w:sz w:val="32"/>
          <w:lang w:val="en-US" w:eastAsia="zh-CN"/>
        </w:rPr>
        <w:t>重庆市开州区城市公园管理中心本年</w:t>
      </w:r>
      <w:r>
        <w:rPr>
          <w:rFonts w:hint="default" w:ascii="Times New Roman" w:hAnsi="Times New Roman" w:eastAsia="方正仿宋_GBK" w:cs="Times New Roman"/>
          <w:sz w:val="32"/>
          <w:lang w:val="en-US" w:eastAsia="zh-CN"/>
        </w:rPr>
        <w:t>一般公共预算支出</w:t>
      </w:r>
      <w:r>
        <w:rPr>
          <w:rFonts w:hint="eastAsia" w:ascii="Times New Roman" w:hAnsi="Times New Roman" w:eastAsia="方正仿宋_GBK" w:cs="Times New Roman"/>
          <w:sz w:val="32"/>
          <w:lang w:val="en-US" w:eastAsia="zh-CN"/>
        </w:rPr>
        <w:t>预算</w:t>
      </w:r>
      <w:r>
        <w:rPr>
          <w:rFonts w:hint="default" w:ascii="Times New Roman" w:hAnsi="Times New Roman" w:eastAsia="方正仿宋_GBK" w:cs="Times New Roman"/>
          <w:sz w:val="32"/>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0" w:firstLineChars="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表6、</w:t>
      </w:r>
      <w:r>
        <w:rPr>
          <w:rFonts w:hint="eastAsia" w:ascii="Times New Roman" w:hAnsi="Times New Roman" w:eastAsia="方正仿宋_GBK" w:cs="Times New Roman"/>
          <w:sz w:val="32"/>
          <w:lang w:val="en-US" w:eastAsia="zh-CN"/>
        </w:rPr>
        <w:t>重庆市开州区城市公园管理中心</w:t>
      </w:r>
      <w:r>
        <w:rPr>
          <w:rFonts w:hint="default" w:ascii="Times New Roman" w:hAnsi="Times New Roman" w:eastAsia="方正仿宋_GBK" w:cs="Times New Roman"/>
          <w:sz w:val="32"/>
          <w:lang w:val="en-US" w:eastAsia="zh-CN"/>
        </w:rPr>
        <w:t>一般公共预算基本支出</w:t>
      </w:r>
      <w:r>
        <w:rPr>
          <w:rFonts w:hint="eastAsia" w:ascii="Times New Roman" w:hAnsi="Times New Roman" w:eastAsia="方正仿宋_GBK" w:cs="Times New Roman"/>
          <w:sz w:val="32"/>
          <w:lang w:val="en-US" w:eastAsia="zh-CN"/>
        </w:rPr>
        <w:t>预算</w:t>
      </w:r>
      <w:r>
        <w:rPr>
          <w:rFonts w:hint="default" w:ascii="Times New Roman" w:hAnsi="Times New Roman" w:eastAsia="方正仿宋_GBK" w:cs="Times New Roman"/>
          <w:sz w:val="32"/>
          <w:lang w:val="en-US" w:eastAsia="zh-CN"/>
        </w:rPr>
        <w:t>表</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0" w:firstLineChars="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表7、</w:t>
      </w:r>
      <w:r>
        <w:rPr>
          <w:rFonts w:hint="eastAsia" w:ascii="Times New Roman" w:hAnsi="Times New Roman" w:eastAsia="方正仿宋_GBK" w:cs="Times New Roman"/>
          <w:sz w:val="32"/>
          <w:lang w:val="en-US" w:eastAsia="zh-CN"/>
        </w:rPr>
        <w:t>重庆市开州区城市公园管理中心</w:t>
      </w:r>
      <w:r>
        <w:rPr>
          <w:rFonts w:hint="default" w:ascii="Times New Roman" w:hAnsi="Times New Roman" w:eastAsia="方正仿宋_GBK" w:cs="Times New Roman"/>
          <w:sz w:val="32"/>
          <w:lang w:val="en-US" w:eastAsia="zh-CN"/>
        </w:rPr>
        <w:t>一般公共预</w:t>
      </w:r>
      <w:r>
        <w:rPr>
          <w:rFonts w:hint="eastAsia" w:ascii="Times New Roman" w:hAnsi="Times New Roman" w:eastAsia="方正仿宋_GBK" w:cs="Times New Roman"/>
          <w:sz w:val="32"/>
          <w:lang w:val="en-US" w:eastAsia="zh-CN"/>
        </w:rPr>
        <w:t>算“三公”经费</w:t>
      </w:r>
      <w:r>
        <w:rPr>
          <w:rFonts w:hint="default" w:ascii="Times New Roman" w:hAnsi="Times New Roman" w:eastAsia="方正仿宋_GBK" w:cs="Times New Roman"/>
          <w:sz w:val="32"/>
          <w:lang w:val="en-US" w:eastAsia="zh-CN"/>
        </w:rPr>
        <w:t>支出</w:t>
      </w:r>
      <w:r>
        <w:rPr>
          <w:rFonts w:hint="eastAsia" w:ascii="Times New Roman" w:hAnsi="Times New Roman" w:eastAsia="方正仿宋_GBK" w:cs="Times New Roman"/>
          <w:sz w:val="32"/>
          <w:lang w:val="en-US" w:eastAsia="zh-CN"/>
        </w:rPr>
        <w:t>预算</w:t>
      </w:r>
      <w:r>
        <w:rPr>
          <w:rFonts w:hint="default" w:ascii="Times New Roman" w:hAnsi="Times New Roman" w:eastAsia="方正仿宋_GBK" w:cs="Times New Roman"/>
          <w:sz w:val="32"/>
          <w:lang w:val="en-US" w:eastAsia="zh-CN"/>
        </w:rPr>
        <w:t>表</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0" w:firstLineChars="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表8、</w:t>
      </w:r>
      <w:r>
        <w:rPr>
          <w:rFonts w:hint="eastAsia" w:ascii="Times New Roman" w:hAnsi="Times New Roman" w:eastAsia="方正仿宋_GBK" w:cs="Times New Roman"/>
          <w:sz w:val="32"/>
          <w:lang w:val="en-US" w:eastAsia="zh-CN"/>
        </w:rPr>
        <w:t>重庆市开州区城市公园管理中心</w:t>
      </w:r>
      <w:r>
        <w:rPr>
          <w:rFonts w:hint="default" w:ascii="Times New Roman" w:hAnsi="Times New Roman" w:eastAsia="方正仿宋_GBK" w:cs="Times New Roman"/>
          <w:sz w:val="32"/>
          <w:lang w:val="en-US" w:eastAsia="zh-CN"/>
        </w:rPr>
        <w:t>政府性基金预算支出</w:t>
      </w:r>
      <w:r>
        <w:rPr>
          <w:rFonts w:hint="eastAsia" w:ascii="Times New Roman" w:hAnsi="Times New Roman" w:eastAsia="方正仿宋_GBK" w:cs="Times New Roman"/>
          <w:sz w:val="32"/>
          <w:lang w:val="en-US" w:eastAsia="zh-CN"/>
        </w:rPr>
        <w:t>预算</w:t>
      </w:r>
      <w:r>
        <w:rPr>
          <w:rFonts w:hint="default" w:ascii="Times New Roman" w:hAnsi="Times New Roman" w:eastAsia="方正仿宋_GBK" w:cs="Times New Roman"/>
          <w:sz w:val="32"/>
          <w:lang w:val="en-US" w:eastAsia="zh-CN"/>
        </w:rPr>
        <w:t>表</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0" w:firstLineChars="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表9、</w:t>
      </w:r>
      <w:r>
        <w:rPr>
          <w:rFonts w:hint="eastAsia" w:ascii="Times New Roman" w:hAnsi="Times New Roman" w:eastAsia="方正仿宋_GBK" w:cs="Times New Roman"/>
          <w:sz w:val="32"/>
          <w:lang w:val="en-US" w:eastAsia="zh-CN"/>
        </w:rPr>
        <w:t>重庆市开州区城市公园管理中心</w:t>
      </w:r>
      <w:r>
        <w:rPr>
          <w:rFonts w:hint="default" w:ascii="Times New Roman" w:hAnsi="Times New Roman" w:eastAsia="方正仿宋_GBK" w:cs="Times New Roman"/>
          <w:sz w:val="32"/>
          <w:lang w:val="en-US" w:eastAsia="zh-CN"/>
        </w:rPr>
        <w:t>国有资本经营预算支出</w:t>
      </w:r>
      <w:r>
        <w:rPr>
          <w:rFonts w:hint="eastAsia" w:ascii="Times New Roman" w:hAnsi="Times New Roman" w:eastAsia="方正仿宋_GBK" w:cs="Times New Roman"/>
          <w:sz w:val="32"/>
          <w:lang w:val="en-US" w:eastAsia="zh-CN"/>
        </w:rPr>
        <w:t>预算</w:t>
      </w:r>
      <w:r>
        <w:rPr>
          <w:rFonts w:hint="default" w:ascii="Times New Roman" w:hAnsi="Times New Roman" w:eastAsia="方正仿宋_GBK" w:cs="Times New Roman"/>
          <w:sz w:val="32"/>
          <w:lang w:val="en-US" w:eastAsia="zh-CN"/>
        </w:rPr>
        <w:t>表</w:t>
      </w:r>
      <w:bookmarkStart w:id="0" w:name="_GoBack"/>
      <w:bookmarkEnd w:id="0"/>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0" w:firstLineChars="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表10、</w:t>
      </w:r>
      <w:r>
        <w:rPr>
          <w:rFonts w:hint="eastAsia" w:ascii="Times New Roman" w:hAnsi="Times New Roman" w:eastAsia="方正仿宋_GBK" w:cs="Times New Roman"/>
          <w:sz w:val="32"/>
          <w:lang w:val="en-US" w:eastAsia="zh-CN"/>
        </w:rPr>
        <w:t>重庆市开州区城市公园管理中心</w:t>
      </w:r>
      <w:r>
        <w:rPr>
          <w:rFonts w:hint="default" w:ascii="Times New Roman" w:hAnsi="Times New Roman" w:eastAsia="方正仿宋_GBK" w:cs="Times New Roman"/>
          <w:sz w:val="32"/>
          <w:lang w:val="en-US" w:eastAsia="zh-CN"/>
        </w:rPr>
        <w:t>项目支出表</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0" w:firstLineChars="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表11、</w:t>
      </w:r>
      <w:r>
        <w:rPr>
          <w:rFonts w:hint="eastAsia" w:ascii="Times New Roman" w:hAnsi="Times New Roman" w:eastAsia="方正仿宋_GBK" w:cs="Times New Roman"/>
          <w:sz w:val="32"/>
          <w:lang w:val="en-US" w:eastAsia="zh-CN"/>
        </w:rPr>
        <w:t>2025年重庆市开州区城市公园管理中心</w:t>
      </w:r>
      <w:r>
        <w:rPr>
          <w:rFonts w:hint="default" w:ascii="Times New Roman" w:hAnsi="Times New Roman" w:eastAsia="方正仿宋_GBK" w:cs="Times New Roman"/>
          <w:sz w:val="32"/>
          <w:lang w:val="en-US" w:eastAsia="zh-CN"/>
        </w:rPr>
        <w:t>项目绩效目标表</w:t>
      </w:r>
    </w:p>
    <w:p>
      <w:pPr>
        <w:keepNext w:val="0"/>
        <w:keepLines w:val="0"/>
        <w:pageBreakBefore w:val="0"/>
        <w:widowControl w:val="0"/>
        <w:kinsoku/>
        <w:wordWrap/>
        <w:overflowPunct/>
        <w:topLinePunct w:val="0"/>
        <w:autoSpaceDE/>
        <w:autoSpaceDN/>
        <w:bidi w:val="0"/>
        <w:adjustRightInd/>
        <w:snapToGrid/>
        <w:ind w:firstLine="0" w:firstLineChars="0"/>
        <w:textAlignment w:val="auto"/>
        <w:rPr>
          <w:highlight w:val="none"/>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highlight w:val="none"/>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highlight w:val="none"/>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highlight w:val="none"/>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highlight w:val="none"/>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highlight w:val="none"/>
        </w:rPr>
      </w:pPr>
    </w:p>
    <w:p>
      <w:pPr>
        <w:pStyle w:val="4"/>
        <w:keepNext w:val="0"/>
        <w:keepLines w:val="0"/>
        <w:pageBreakBefore w:val="0"/>
        <w:widowControl w:val="0"/>
        <w:kinsoku/>
        <w:wordWrap/>
        <w:overflowPunct w:val="0"/>
        <w:topLinePunct w:val="0"/>
        <w:autoSpaceDE/>
        <w:autoSpaceDN/>
        <w:bidi w:val="0"/>
        <w:adjustRightInd w:val="0"/>
        <w:snapToGrid w:val="0"/>
        <w:spacing w:before="0" w:after="0" w:line="600" w:lineRule="exact"/>
        <w:ind w:left="0" w:leftChars="0" w:right="0" w:firstLine="0" w:firstLineChars="0"/>
        <w:jc w:val="center"/>
        <w:textAlignment w:val="auto"/>
        <w:rPr>
          <w:rFonts w:eastAsia="方正小标宋_GBK"/>
          <w:sz w:val="44"/>
          <w:szCs w:val="44"/>
          <w:highlight w:val="none"/>
        </w:rPr>
      </w:pPr>
      <w:r>
        <w:rPr>
          <w:rFonts w:eastAsia="方正小标宋_GBK"/>
          <w:sz w:val="44"/>
          <w:szCs w:val="44"/>
          <w:highlight w:val="none"/>
        </w:rPr>
        <w:br w:type="page"/>
      </w:r>
      <w:r>
        <w:rPr>
          <w:rFonts w:hint="eastAsia" w:ascii="Times New Roman" w:hAnsi="Times New Roman" w:eastAsia="方正小标宋_GBK" w:cs="Times New Roman"/>
          <w:b w:val="0"/>
          <w:bCs w:val="0"/>
          <w:sz w:val="44"/>
          <w:szCs w:val="44"/>
          <w:lang w:val="en-US" w:eastAsia="zh-CN"/>
        </w:rPr>
        <w:t>第一部分：2025年部门预算情况说明</w:t>
      </w:r>
    </w:p>
    <w:p>
      <w:pPr>
        <w:spacing w:line="600" w:lineRule="exact"/>
        <w:ind w:firstLine="880" w:firstLineChars="200"/>
        <w:jc w:val="center"/>
        <w:rPr>
          <w:rFonts w:eastAsia="华文中宋"/>
          <w:sz w:val="44"/>
          <w:szCs w:val="44"/>
          <w:highlight w:val="none"/>
        </w:rPr>
      </w:pPr>
    </w:p>
    <w:p>
      <w:pPr>
        <w:pStyle w:val="2"/>
        <w:keepNext w:val="0"/>
        <w:keepLines w:val="0"/>
        <w:pageBreakBefore w:val="0"/>
        <w:widowControl w:val="0"/>
        <w:numPr>
          <w:ilvl w:val="0"/>
          <w:numId w:val="0"/>
        </w:numPr>
        <w:kinsoku/>
        <w:wordWrap/>
        <w:topLinePunct w:val="0"/>
        <w:autoSpaceDE/>
        <w:autoSpaceDN/>
        <w:bidi w:val="0"/>
        <w:spacing w:beforeLines="0" w:beforeAutospacing="0" w:afterLines="0" w:afterAutospacing="0" w:line="600" w:lineRule="exact"/>
        <w:ind w:left="0" w:leftChars="0" w:firstLine="636" w:firstLineChars="199"/>
        <w:jc w:val="both"/>
        <w:textAlignment w:val="auto"/>
        <w:rPr>
          <w:rFonts w:hint="default" w:ascii="Times New Roman" w:hAnsi="Times New Roman" w:eastAsia="方正黑体_GBK" w:cs="Times New Roman"/>
          <w:b w:val="0"/>
          <w:bCs w:val="0"/>
          <w:sz w:val="32"/>
          <w:szCs w:val="24"/>
          <w:lang w:val="en-US" w:eastAsia="zh-CN"/>
        </w:rPr>
      </w:pPr>
      <w:r>
        <w:rPr>
          <w:rFonts w:hint="default" w:ascii="Times New Roman" w:hAnsi="Times New Roman" w:eastAsia="方正黑体_GBK" w:cs="Times New Roman"/>
          <w:b w:val="0"/>
          <w:bCs w:val="0"/>
          <w:sz w:val="32"/>
          <w:szCs w:val="24"/>
          <w:lang w:val="en-US" w:eastAsia="zh-CN"/>
        </w:rPr>
        <w:t>一、单位基本情况</w:t>
      </w:r>
    </w:p>
    <w:p>
      <w:pPr>
        <w:pStyle w:val="3"/>
        <w:keepNext w:val="0"/>
        <w:keepLines w:val="0"/>
        <w:pageBreakBefore w:val="0"/>
        <w:widowControl w:val="0"/>
        <w:numPr>
          <w:ilvl w:val="0"/>
          <w:numId w:val="0"/>
        </w:numPr>
        <w:kinsoku/>
        <w:wordWrap/>
        <w:topLinePunct w:val="0"/>
        <w:autoSpaceDE/>
        <w:autoSpaceDN/>
        <w:bidi w:val="0"/>
        <w:spacing w:beforeLines="0" w:afterLines="0"/>
        <w:ind w:firstLine="640" w:firstLineChars="200"/>
        <w:textAlignment w:val="auto"/>
        <w:rPr>
          <w:rFonts w:hint="eastAsia" w:ascii="Times New Roman" w:hAnsi="Times New Roman" w:cs="Times New Roman"/>
          <w:sz w:val="32"/>
          <w:lang w:val="en-US" w:eastAsia="zh-CN"/>
        </w:rPr>
      </w:pPr>
      <w:r>
        <w:rPr>
          <w:rFonts w:hint="eastAsia" w:ascii="Times New Roman" w:hAnsi="Times New Roman" w:cs="Times New Roman"/>
          <w:sz w:val="32"/>
          <w:lang w:val="en-US" w:eastAsia="zh-CN"/>
        </w:rPr>
        <w:t>（一）职能职责</w:t>
      </w:r>
    </w:p>
    <w:p>
      <w:pPr>
        <w:numPr>
          <w:ilvl w:val="0"/>
          <w:numId w:val="0"/>
        </w:numPr>
        <w:bidi w:val="0"/>
        <w:spacing w:line="600" w:lineRule="exact"/>
        <w:ind w:left="0"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kern w:val="2"/>
          <w:sz w:val="32"/>
          <w:szCs w:val="22"/>
          <w:lang w:val="en-US" w:eastAsia="zh-CN" w:bidi="ar-SA"/>
        </w:rPr>
        <w:t>1.</w:t>
      </w:r>
      <w:r>
        <w:rPr>
          <w:rFonts w:hint="eastAsia" w:ascii="Times New Roman" w:hAnsi="Times New Roman" w:eastAsia="方正仿宋_GBK" w:cs="Times New Roman"/>
          <w:sz w:val="32"/>
          <w:lang w:val="en-US" w:eastAsia="zh-CN"/>
        </w:rPr>
        <w:t>负责</w:t>
      </w:r>
      <w:r>
        <w:rPr>
          <w:rFonts w:hint="default" w:ascii="Times New Roman" w:hAnsi="Times New Roman" w:eastAsia="方正仿宋_GBK" w:cs="Times New Roman"/>
          <w:sz w:val="32"/>
          <w:lang w:val="en-US" w:eastAsia="zh-CN"/>
        </w:rPr>
        <w:t>综合性公园、专类公园、游艺机游乐园等城市公园管理</w:t>
      </w:r>
      <w:r>
        <w:rPr>
          <w:rFonts w:hint="eastAsia" w:ascii="Times New Roman" w:hAnsi="Times New Roman" w:eastAsia="方正仿宋_GBK" w:cs="Times New Roman"/>
          <w:sz w:val="32"/>
          <w:lang w:val="en-US" w:eastAsia="zh-CN"/>
        </w:rPr>
        <w:t>的事务性</w:t>
      </w:r>
      <w:r>
        <w:rPr>
          <w:rFonts w:hint="default" w:ascii="Times New Roman" w:hAnsi="Times New Roman" w:eastAsia="方正仿宋_GBK" w:cs="Times New Roman"/>
          <w:sz w:val="32"/>
          <w:lang w:val="en-US" w:eastAsia="zh-CN"/>
        </w:rPr>
        <w:t>工作。</w:t>
      </w:r>
    </w:p>
    <w:p>
      <w:pPr>
        <w:numPr>
          <w:ilvl w:val="0"/>
          <w:numId w:val="0"/>
        </w:numPr>
        <w:bidi w:val="0"/>
        <w:spacing w:line="600" w:lineRule="exact"/>
        <w:ind w:left="0"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val="en-US" w:eastAsia="zh-CN"/>
        </w:rPr>
        <w:t>负责</w:t>
      </w:r>
      <w:r>
        <w:rPr>
          <w:rFonts w:hint="default" w:ascii="Times New Roman" w:hAnsi="Times New Roman" w:eastAsia="方正仿宋_GBK" w:cs="Times New Roman"/>
          <w:sz w:val="32"/>
          <w:lang w:val="en-US" w:eastAsia="zh-CN"/>
        </w:rPr>
        <w:t>休闲场所提供。</w:t>
      </w:r>
    </w:p>
    <w:p>
      <w:pPr>
        <w:numPr>
          <w:ilvl w:val="0"/>
          <w:numId w:val="0"/>
        </w:numPr>
        <w:bidi w:val="0"/>
        <w:spacing w:line="600" w:lineRule="exact"/>
        <w:ind w:left="0"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3.</w:t>
      </w:r>
      <w:r>
        <w:rPr>
          <w:rFonts w:hint="eastAsia" w:ascii="Times New Roman" w:hAnsi="Times New Roman" w:eastAsia="方正仿宋_GBK" w:cs="Times New Roman"/>
          <w:sz w:val="32"/>
          <w:lang w:val="en-US" w:eastAsia="zh-CN"/>
        </w:rPr>
        <w:t>负责</w:t>
      </w:r>
      <w:r>
        <w:rPr>
          <w:rFonts w:hint="default" w:ascii="Times New Roman" w:hAnsi="Times New Roman" w:eastAsia="方正仿宋_GBK" w:cs="Times New Roman"/>
          <w:sz w:val="32"/>
          <w:lang w:val="en-US" w:eastAsia="zh-CN"/>
        </w:rPr>
        <w:t>公园设施维护与管理。</w:t>
      </w:r>
    </w:p>
    <w:p>
      <w:pPr>
        <w:numPr>
          <w:ilvl w:val="0"/>
          <w:numId w:val="0"/>
        </w:numPr>
        <w:bidi w:val="0"/>
        <w:spacing w:line="600" w:lineRule="exact"/>
        <w:ind w:left="0"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4.</w:t>
      </w:r>
      <w:r>
        <w:rPr>
          <w:rFonts w:hint="eastAsia" w:ascii="Times New Roman" w:hAnsi="Times New Roman" w:eastAsia="方正仿宋_GBK" w:cs="Times New Roman"/>
          <w:sz w:val="32"/>
          <w:lang w:val="en-US" w:eastAsia="zh-CN"/>
        </w:rPr>
        <w:t>负责</w:t>
      </w:r>
      <w:r>
        <w:rPr>
          <w:rFonts w:hint="default" w:ascii="Times New Roman" w:hAnsi="Times New Roman" w:eastAsia="方正仿宋_GBK" w:cs="Times New Roman"/>
          <w:sz w:val="32"/>
          <w:lang w:val="en-US" w:eastAsia="zh-CN"/>
        </w:rPr>
        <w:t>公园游览与娱乐项目组织管理。</w:t>
      </w:r>
    </w:p>
    <w:p>
      <w:pPr>
        <w:numPr>
          <w:ilvl w:val="0"/>
          <w:numId w:val="0"/>
        </w:numPr>
        <w:bidi w:val="0"/>
        <w:spacing w:line="600" w:lineRule="exact"/>
        <w:ind w:left="0"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5.</w:t>
      </w:r>
      <w:r>
        <w:rPr>
          <w:rFonts w:hint="eastAsia" w:ascii="Times New Roman" w:hAnsi="Times New Roman" w:eastAsia="方正仿宋_GBK" w:cs="Times New Roman"/>
          <w:sz w:val="32"/>
          <w:lang w:val="en-US" w:eastAsia="zh-CN"/>
        </w:rPr>
        <w:t>负责</w:t>
      </w:r>
      <w:r>
        <w:rPr>
          <w:rFonts w:hint="default" w:ascii="Times New Roman" w:hAnsi="Times New Roman" w:eastAsia="方正仿宋_GBK" w:cs="Times New Roman"/>
          <w:sz w:val="32"/>
          <w:lang w:val="en-US" w:eastAsia="zh-CN"/>
        </w:rPr>
        <w:t>科普宣传教育及相关社会服务。</w:t>
      </w:r>
    </w:p>
    <w:p>
      <w:pPr>
        <w:pStyle w:val="3"/>
        <w:keepNext w:val="0"/>
        <w:keepLines w:val="0"/>
        <w:pageBreakBefore w:val="0"/>
        <w:widowControl w:val="0"/>
        <w:numPr>
          <w:ilvl w:val="0"/>
          <w:numId w:val="0"/>
        </w:numPr>
        <w:kinsoku/>
        <w:wordWrap/>
        <w:topLinePunct w:val="0"/>
        <w:autoSpaceDE/>
        <w:autoSpaceDN/>
        <w:bidi w:val="0"/>
        <w:spacing w:beforeLines="0" w:afterLines="0"/>
        <w:ind w:firstLine="640" w:firstLineChars="200"/>
        <w:textAlignment w:val="auto"/>
        <w:rPr>
          <w:rFonts w:hint="eastAsia" w:ascii="Times New Roman" w:hAnsi="Times New Roman" w:cs="Times New Roman"/>
          <w:sz w:val="32"/>
          <w:lang w:val="en-US" w:eastAsia="zh-CN"/>
        </w:rPr>
      </w:pPr>
      <w:r>
        <w:rPr>
          <w:rFonts w:hint="eastAsia" w:ascii="Times New Roman" w:hAnsi="Times New Roman" w:cs="Times New Roman"/>
          <w:sz w:val="32"/>
          <w:lang w:val="en-US" w:eastAsia="zh-CN"/>
        </w:rPr>
        <w:t>（二）单位构成</w:t>
      </w:r>
    </w:p>
    <w:p>
      <w:pPr>
        <w:numPr>
          <w:ilvl w:val="0"/>
          <w:numId w:val="0"/>
        </w:numPr>
        <w:bidi w:val="0"/>
        <w:spacing w:line="600" w:lineRule="exact"/>
        <w:ind w:left="0" w:firstLine="640" w:firstLineChars="200"/>
        <w:rPr>
          <w:rFonts w:hint="default"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我</w:t>
      </w:r>
      <w:r>
        <w:rPr>
          <w:rFonts w:hint="default" w:ascii="Times New Roman" w:hAnsi="Times New Roman" w:eastAsia="方正仿宋_GBK" w:cs="Times New Roman"/>
          <w:sz w:val="32"/>
          <w:lang w:val="en-US" w:eastAsia="zh-CN"/>
        </w:rPr>
        <w:t>单位内设机构3个，分别为运行管理所、服务管理所、办公室。</w:t>
      </w:r>
    </w:p>
    <w:p>
      <w:pPr>
        <w:numPr>
          <w:ilvl w:val="0"/>
          <w:numId w:val="0"/>
        </w:numPr>
        <w:bidi w:val="0"/>
        <w:spacing w:line="600" w:lineRule="exact"/>
        <w:ind w:left="0" w:firstLine="640" w:firstLineChars="200"/>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从预算单位构成看，本单位属于二级预算单位，主管部门为重庆市开州区城市管理局。</w:t>
      </w:r>
    </w:p>
    <w:p>
      <w:pPr>
        <w:spacing w:line="600" w:lineRule="exact"/>
        <w:ind w:left="640"/>
        <w:rPr>
          <w:rFonts w:eastAsia="方正仿宋_GBK"/>
          <w:sz w:val="32"/>
          <w:highlight w:val="none"/>
        </w:rPr>
      </w:pPr>
      <w:r>
        <w:rPr>
          <w:rFonts w:eastAsia="方正黑体_GBK"/>
          <w:sz w:val="32"/>
          <w:highlight w:val="none"/>
        </w:rPr>
        <w:t>二、部门收支总体情况</w:t>
      </w:r>
    </w:p>
    <w:p>
      <w:pPr>
        <w:spacing w:line="600" w:lineRule="exact"/>
        <w:ind w:firstLine="640" w:firstLineChars="200"/>
        <w:rPr>
          <w:rFonts w:eastAsia="方正仿宋_GBK"/>
          <w:color w:val="0000FF"/>
          <w:sz w:val="32"/>
          <w:highlight w:val="none"/>
        </w:rPr>
      </w:pPr>
      <w:r>
        <w:rPr>
          <w:rFonts w:hint="eastAsia" w:ascii="Times New Roman" w:hAnsi="Times New Roman" w:eastAsia="方正楷体_GBK" w:cs="Times New Roman"/>
          <w:kern w:val="2"/>
          <w:sz w:val="32"/>
          <w:szCs w:val="24"/>
          <w:lang w:val="en-US" w:eastAsia="zh-CN" w:bidi="ar-SA"/>
        </w:rPr>
        <w:t>（一）收入预算：</w:t>
      </w:r>
      <w:r>
        <w:rPr>
          <w:rFonts w:hint="eastAsia" w:eastAsia="方正仿宋_GBK"/>
          <w:color w:val="auto"/>
          <w:sz w:val="32"/>
          <w:highlight w:val="none"/>
          <w:lang w:val="en-US" w:eastAsia="zh-CN"/>
        </w:rPr>
        <w:t>2025</w:t>
      </w:r>
      <w:r>
        <w:rPr>
          <w:rFonts w:eastAsia="方正仿宋_GBK"/>
          <w:color w:val="auto"/>
          <w:sz w:val="32"/>
          <w:highlight w:val="none"/>
        </w:rPr>
        <w:t>年年初预算数</w:t>
      </w:r>
      <w:r>
        <w:rPr>
          <w:rFonts w:hint="eastAsia" w:eastAsia="方正仿宋_GBK"/>
          <w:color w:val="auto"/>
          <w:sz w:val="32"/>
          <w:highlight w:val="none"/>
        </w:rPr>
        <w:t>345.62</w:t>
      </w:r>
      <w:r>
        <w:rPr>
          <w:rFonts w:eastAsia="方正仿宋_GBK"/>
          <w:color w:val="auto"/>
          <w:sz w:val="32"/>
          <w:highlight w:val="none"/>
        </w:rPr>
        <w:t>万元</w:t>
      </w:r>
      <w:r>
        <w:rPr>
          <w:rFonts w:hint="eastAsia" w:eastAsia="方正仿宋_GBK"/>
          <w:color w:val="auto"/>
          <w:sz w:val="32"/>
          <w:highlight w:val="none"/>
          <w:lang w:eastAsia="zh-CN"/>
        </w:rPr>
        <w:t>，</w:t>
      </w:r>
      <w:r>
        <w:rPr>
          <w:rFonts w:eastAsia="方正仿宋_GBK"/>
          <w:color w:val="auto"/>
          <w:sz w:val="32"/>
          <w:highlight w:val="none"/>
        </w:rPr>
        <w:t>上年结转</w:t>
      </w:r>
      <w:r>
        <w:rPr>
          <w:rFonts w:hint="eastAsia" w:eastAsia="方正仿宋_GBK"/>
          <w:color w:val="auto"/>
          <w:sz w:val="32"/>
          <w:highlight w:val="none"/>
          <w:lang w:val="en-US" w:eastAsia="zh-CN"/>
        </w:rPr>
        <w:t>0</w:t>
      </w:r>
      <w:r>
        <w:rPr>
          <w:rFonts w:eastAsia="方正仿宋_GBK"/>
          <w:color w:val="auto"/>
          <w:sz w:val="32"/>
          <w:highlight w:val="none"/>
        </w:rPr>
        <w:t>万元，其中：一般公共预算拨款</w:t>
      </w:r>
      <w:r>
        <w:rPr>
          <w:rFonts w:hint="eastAsia" w:eastAsia="方正仿宋_GBK"/>
          <w:color w:val="auto"/>
          <w:sz w:val="32"/>
          <w:highlight w:val="none"/>
        </w:rPr>
        <w:t>345.62</w:t>
      </w:r>
      <w:r>
        <w:rPr>
          <w:rFonts w:eastAsia="方正仿宋_GBK"/>
          <w:color w:val="auto"/>
          <w:sz w:val="32"/>
          <w:highlight w:val="none"/>
        </w:rPr>
        <w:t>万元</w:t>
      </w:r>
      <w:r>
        <w:rPr>
          <w:rFonts w:hint="eastAsia" w:eastAsia="方正仿宋_GBK"/>
          <w:color w:val="auto"/>
          <w:sz w:val="32"/>
          <w:highlight w:val="none"/>
          <w:lang w:eastAsia="zh-CN"/>
        </w:rPr>
        <w:t>，</w:t>
      </w:r>
      <w:r>
        <w:rPr>
          <w:rFonts w:eastAsia="方正仿宋_GBK"/>
          <w:color w:val="auto"/>
          <w:sz w:val="32"/>
          <w:highlight w:val="none"/>
        </w:rPr>
        <w:t>上年结转</w:t>
      </w:r>
      <w:r>
        <w:rPr>
          <w:rFonts w:hint="eastAsia" w:eastAsia="方正仿宋_GBK"/>
          <w:color w:val="auto"/>
          <w:sz w:val="32"/>
          <w:highlight w:val="none"/>
          <w:lang w:val="en-US" w:eastAsia="zh-CN"/>
        </w:rPr>
        <w:t>0</w:t>
      </w:r>
      <w:r>
        <w:rPr>
          <w:rFonts w:eastAsia="方正仿宋_GBK"/>
          <w:color w:val="auto"/>
          <w:sz w:val="32"/>
          <w:highlight w:val="none"/>
        </w:rPr>
        <w:t>万元，政府性基金预算拨款</w:t>
      </w:r>
      <w:r>
        <w:rPr>
          <w:rFonts w:hint="eastAsia" w:eastAsia="方正仿宋_GBK"/>
          <w:color w:val="auto"/>
          <w:sz w:val="32"/>
          <w:highlight w:val="none"/>
          <w:lang w:val="en-US" w:eastAsia="zh-CN"/>
        </w:rPr>
        <w:t>0</w:t>
      </w:r>
      <w:r>
        <w:rPr>
          <w:rFonts w:eastAsia="方正仿宋_GBK"/>
          <w:color w:val="auto"/>
          <w:sz w:val="32"/>
          <w:highlight w:val="none"/>
        </w:rPr>
        <w:t>万元</w:t>
      </w:r>
      <w:r>
        <w:rPr>
          <w:rFonts w:hint="eastAsia" w:eastAsia="方正仿宋_GBK"/>
          <w:color w:val="auto"/>
          <w:sz w:val="32"/>
          <w:highlight w:val="none"/>
          <w:lang w:eastAsia="zh-CN"/>
        </w:rPr>
        <w:t>，</w:t>
      </w:r>
      <w:r>
        <w:rPr>
          <w:rFonts w:eastAsia="方正仿宋_GBK"/>
          <w:color w:val="auto"/>
          <w:sz w:val="32"/>
          <w:highlight w:val="none"/>
        </w:rPr>
        <w:t>上年结转</w:t>
      </w:r>
      <w:r>
        <w:rPr>
          <w:rFonts w:hint="eastAsia" w:eastAsia="方正仿宋_GBK"/>
          <w:color w:val="auto"/>
          <w:sz w:val="32"/>
          <w:highlight w:val="none"/>
          <w:lang w:val="en-US" w:eastAsia="zh-CN"/>
        </w:rPr>
        <w:t>0</w:t>
      </w:r>
      <w:r>
        <w:rPr>
          <w:rFonts w:eastAsia="方正仿宋_GBK"/>
          <w:color w:val="auto"/>
          <w:sz w:val="32"/>
          <w:highlight w:val="none"/>
        </w:rPr>
        <w:t>万元，国有资本经营预算收入</w:t>
      </w:r>
      <w:r>
        <w:rPr>
          <w:rFonts w:hint="eastAsia" w:eastAsia="方正仿宋_GBK"/>
          <w:color w:val="auto"/>
          <w:sz w:val="32"/>
          <w:highlight w:val="none"/>
          <w:lang w:val="en-US" w:eastAsia="zh-CN"/>
        </w:rPr>
        <w:t>0</w:t>
      </w:r>
      <w:r>
        <w:rPr>
          <w:rFonts w:eastAsia="方正仿宋_GBK"/>
          <w:color w:val="auto"/>
          <w:sz w:val="32"/>
          <w:highlight w:val="none"/>
        </w:rPr>
        <w:t>万元</w:t>
      </w:r>
      <w:r>
        <w:rPr>
          <w:rFonts w:hint="eastAsia" w:eastAsia="方正仿宋_GBK"/>
          <w:color w:val="auto"/>
          <w:sz w:val="32"/>
          <w:highlight w:val="none"/>
          <w:lang w:eastAsia="zh-CN"/>
        </w:rPr>
        <w:t>，</w:t>
      </w:r>
      <w:r>
        <w:rPr>
          <w:rFonts w:eastAsia="方正仿宋_GBK"/>
          <w:color w:val="auto"/>
          <w:sz w:val="32"/>
          <w:highlight w:val="none"/>
        </w:rPr>
        <w:t>上年结转</w:t>
      </w:r>
      <w:r>
        <w:rPr>
          <w:rFonts w:hint="eastAsia" w:eastAsia="方正仿宋_GBK"/>
          <w:color w:val="auto"/>
          <w:sz w:val="32"/>
          <w:highlight w:val="none"/>
          <w:lang w:val="en-US" w:eastAsia="zh-CN"/>
        </w:rPr>
        <w:t>0</w:t>
      </w:r>
      <w:r>
        <w:rPr>
          <w:rFonts w:eastAsia="方正仿宋_GBK"/>
          <w:color w:val="auto"/>
          <w:sz w:val="32"/>
          <w:highlight w:val="none"/>
        </w:rPr>
        <w:t>万元，事业收入</w:t>
      </w:r>
      <w:r>
        <w:rPr>
          <w:rFonts w:hint="eastAsia" w:eastAsia="方正仿宋_GBK"/>
          <w:color w:val="auto"/>
          <w:sz w:val="32"/>
          <w:highlight w:val="none"/>
          <w:lang w:val="en-US" w:eastAsia="zh-CN"/>
        </w:rPr>
        <w:t>0</w:t>
      </w:r>
      <w:r>
        <w:rPr>
          <w:rFonts w:eastAsia="方正仿宋_GBK"/>
          <w:color w:val="auto"/>
          <w:sz w:val="32"/>
          <w:highlight w:val="none"/>
        </w:rPr>
        <w:t>万元，事业单位经营收入</w:t>
      </w:r>
      <w:r>
        <w:rPr>
          <w:rFonts w:hint="eastAsia" w:eastAsia="方正仿宋_GBK"/>
          <w:color w:val="auto"/>
          <w:sz w:val="32"/>
          <w:highlight w:val="none"/>
          <w:lang w:val="en-US" w:eastAsia="zh-CN"/>
        </w:rPr>
        <w:t>0</w:t>
      </w:r>
      <w:r>
        <w:rPr>
          <w:rFonts w:eastAsia="方正仿宋_GBK"/>
          <w:color w:val="auto"/>
          <w:sz w:val="32"/>
          <w:highlight w:val="none"/>
        </w:rPr>
        <w:t>万元，其他收入</w:t>
      </w:r>
      <w:r>
        <w:rPr>
          <w:rFonts w:hint="eastAsia" w:eastAsia="方正仿宋_GBK"/>
          <w:color w:val="auto"/>
          <w:sz w:val="32"/>
          <w:highlight w:val="none"/>
          <w:lang w:val="en-US" w:eastAsia="zh-CN"/>
        </w:rPr>
        <w:t>0</w:t>
      </w:r>
      <w:r>
        <w:rPr>
          <w:rFonts w:eastAsia="方正仿宋_GBK"/>
          <w:color w:val="auto"/>
          <w:sz w:val="32"/>
          <w:highlight w:val="none"/>
        </w:rPr>
        <w:t>万元</w:t>
      </w:r>
      <w:r>
        <w:rPr>
          <w:rFonts w:hint="eastAsia" w:eastAsia="方正仿宋_GBK"/>
          <w:color w:val="auto"/>
          <w:sz w:val="32"/>
          <w:highlight w:val="none"/>
          <w:lang w:eastAsia="zh-CN"/>
        </w:rPr>
        <w:t>。</w:t>
      </w:r>
      <w:r>
        <w:rPr>
          <w:rFonts w:eastAsia="方正仿宋_GBK"/>
          <w:color w:val="auto"/>
          <w:sz w:val="32"/>
          <w:highlight w:val="none"/>
        </w:rPr>
        <w:t>收入较</w:t>
      </w:r>
      <w:r>
        <w:rPr>
          <w:rFonts w:hint="eastAsia" w:eastAsia="方正仿宋_GBK"/>
          <w:color w:val="auto"/>
          <w:sz w:val="32"/>
          <w:highlight w:val="none"/>
          <w:lang w:val="en-US" w:eastAsia="zh-CN"/>
        </w:rPr>
        <w:t>2024</w:t>
      </w:r>
      <w:r>
        <w:rPr>
          <w:rFonts w:eastAsia="方正仿宋_GBK"/>
          <w:color w:val="auto"/>
          <w:sz w:val="32"/>
          <w:highlight w:val="none"/>
        </w:rPr>
        <w:t>年</w:t>
      </w:r>
      <w:r>
        <w:rPr>
          <w:rFonts w:hint="eastAsia" w:eastAsia="方正仿宋_GBK"/>
          <w:color w:val="auto"/>
          <w:sz w:val="32"/>
          <w:highlight w:val="none"/>
          <w:lang w:val="en-US" w:eastAsia="zh-CN"/>
        </w:rPr>
        <w:t>增加71.48</w:t>
      </w:r>
      <w:r>
        <w:rPr>
          <w:rFonts w:eastAsia="方正仿宋_GBK"/>
          <w:color w:val="auto"/>
          <w:sz w:val="32"/>
          <w:highlight w:val="none"/>
        </w:rPr>
        <w:t>万元，主要是</w:t>
      </w:r>
      <w:r>
        <w:rPr>
          <w:rFonts w:hint="eastAsia" w:eastAsia="方正仿宋_GBK"/>
          <w:color w:val="auto"/>
          <w:sz w:val="32"/>
          <w:highlight w:val="none"/>
          <w:lang w:val="en-US" w:eastAsia="zh-CN"/>
        </w:rPr>
        <w:t>基本支出</w:t>
      </w:r>
      <w:r>
        <w:rPr>
          <w:rFonts w:eastAsia="方正仿宋_GBK"/>
          <w:color w:val="auto"/>
          <w:sz w:val="32"/>
          <w:highlight w:val="none"/>
        </w:rPr>
        <w:t>经费拨款</w:t>
      </w:r>
      <w:r>
        <w:rPr>
          <w:rFonts w:hint="eastAsia" w:eastAsia="方正仿宋_GBK"/>
          <w:color w:val="auto"/>
          <w:sz w:val="32"/>
          <w:highlight w:val="none"/>
          <w:lang w:val="en-US" w:eastAsia="zh-CN"/>
        </w:rPr>
        <w:t>增加71.48</w:t>
      </w:r>
      <w:r>
        <w:rPr>
          <w:rFonts w:eastAsia="方正仿宋_GBK"/>
          <w:color w:val="auto"/>
          <w:sz w:val="32"/>
          <w:highlight w:val="none"/>
        </w:rPr>
        <w:t>万元。</w:t>
      </w:r>
    </w:p>
    <w:p>
      <w:pPr>
        <w:spacing w:line="600" w:lineRule="exact"/>
        <w:ind w:firstLine="640" w:firstLineChars="200"/>
        <w:rPr>
          <w:rFonts w:eastAsia="方正仿宋_GBK"/>
          <w:color w:val="4F81BD"/>
          <w:sz w:val="32"/>
          <w:highlight w:val="none"/>
          <w:shd w:val="clear" w:color="auto" w:fill="auto"/>
        </w:rPr>
      </w:pPr>
      <w:r>
        <w:rPr>
          <w:rFonts w:hint="eastAsia" w:ascii="Times New Roman" w:hAnsi="Times New Roman" w:eastAsia="方正楷体_GBK" w:cs="Times New Roman"/>
          <w:kern w:val="2"/>
          <w:sz w:val="32"/>
          <w:szCs w:val="24"/>
          <w:lang w:val="en-US" w:eastAsia="zh-CN" w:bidi="ar-SA"/>
        </w:rPr>
        <w:t>（二）支出预算：</w:t>
      </w:r>
      <w:r>
        <w:rPr>
          <w:rFonts w:hint="eastAsia" w:eastAsia="方正仿宋_GBK"/>
          <w:color w:val="auto"/>
          <w:sz w:val="32"/>
          <w:highlight w:val="none"/>
          <w:lang w:val="en-US" w:eastAsia="zh-CN"/>
        </w:rPr>
        <w:t>2025</w:t>
      </w:r>
      <w:r>
        <w:rPr>
          <w:rFonts w:eastAsia="方正仿宋_GBK"/>
          <w:color w:val="auto"/>
          <w:sz w:val="32"/>
          <w:highlight w:val="none"/>
        </w:rPr>
        <w:t>年年初预算数</w:t>
      </w:r>
      <w:r>
        <w:rPr>
          <w:rFonts w:hint="eastAsia" w:eastAsia="方正仿宋_GBK"/>
          <w:color w:val="auto"/>
          <w:sz w:val="32"/>
          <w:highlight w:val="none"/>
        </w:rPr>
        <w:t>345.62</w:t>
      </w:r>
      <w:r>
        <w:rPr>
          <w:rFonts w:eastAsia="方正仿宋_GBK"/>
          <w:color w:val="auto"/>
          <w:sz w:val="32"/>
          <w:highlight w:val="none"/>
        </w:rPr>
        <w:t>万元，</w:t>
      </w:r>
      <w:r>
        <w:rPr>
          <w:rFonts w:eastAsia="方正仿宋_GBK"/>
          <w:color w:val="auto"/>
          <w:sz w:val="32"/>
          <w:highlight w:val="none"/>
          <w:shd w:val="clear" w:color="auto" w:fill="auto"/>
        </w:rPr>
        <w:t>其中：一般公共服务支出预算</w:t>
      </w:r>
      <w:r>
        <w:rPr>
          <w:rFonts w:hint="eastAsia" w:eastAsia="方正仿宋_GBK"/>
          <w:color w:val="auto"/>
          <w:sz w:val="32"/>
          <w:highlight w:val="none"/>
          <w:shd w:val="clear" w:color="auto" w:fill="auto"/>
          <w:lang w:val="en-US" w:eastAsia="zh-CN"/>
        </w:rPr>
        <w:t>0</w:t>
      </w:r>
      <w:r>
        <w:rPr>
          <w:rFonts w:eastAsia="方正仿宋_GBK"/>
          <w:color w:val="auto"/>
          <w:sz w:val="32"/>
          <w:highlight w:val="none"/>
          <w:shd w:val="clear" w:color="auto" w:fill="auto"/>
        </w:rPr>
        <w:t>万元，教育支出预算</w:t>
      </w:r>
      <w:r>
        <w:rPr>
          <w:rFonts w:hint="eastAsia" w:eastAsia="方正仿宋_GBK"/>
          <w:color w:val="auto"/>
          <w:sz w:val="32"/>
          <w:highlight w:val="none"/>
          <w:shd w:val="clear" w:color="auto" w:fill="auto"/>
          <w:lang w:val="en-US" w:eastAsia="zh-CN"/>
        </w:rPr>
        <w:t>0</w:t>
      </w:r>
      <w:r>
        <w:rPr>
          <w:rFonts w:eastAsia="方正仿宋_GBK"/>
          <w:color w:val="auto"/>
          <w:sz w:val="32"/>
          <w:highlight w:val="none"/>
          <w:shd w:val="clear" w:color="auto" w:fill="auto"/>
        </w:rPr>
        <w:t>万元，社会保障和就业支出预算</w:t>
      </w:r>
      <w:r>
        <w:rPr>
          <w:rFonts w:hint="eastAsia" w:eastAsia="方正仿宋_GBK"/>
          <w:color w:val="auto"/>
          <w:sz w:val="32"/>
          <w:highlight w:val="none"/>
          <w:shd w:val="clear" w:color="auto" w:fill="auto"/>
        </w:rPr>
        <w:t>50.66</w:t>
      </w:r>
      <w:r>
        <w:rPr>
          <w:rFonts w:eastAsia="方正仿宋_GBK"/>
          <w:color w:val="auto"/>
          <w:sz w:val="32"/>
          <w:highlight w:val="none"/>
          <w:shd w:val="clear" w:color="auto" w:fill="auto"/>
        </w:rPr>
        <w:t>万元，卫生健康支出预算</w:t>
      </w:r>
      <w:r>
        <w:rPr>
          <w:rFonts w:hint="eastAsia" w:eastAsia="方正仿宋_GBK"/>
          <w:color w:val="auto"/>
          <w:sz w:val="32"/>
          <w:highlight w:val="none"/>
          <w:shd w:val="clear" w:color="auto" w:fill="auto"/>
        </w:rPr>
        <w:t>16.32</w:t>
      </w:r>
      <w:r>
        <w:rPr>
          <w:rFonts w:eastAsia="方正仿宋_GBK"/>
          <w:color w:val="auto"/>
          <w:sz w:val="32"/>
          <w:highlight w:val="none"/>
          <w:shd w:val="clear" w:color="auto" w:fill="auto"/>
        </w:rPr>
        <w:t>万元，</w:t>
      </w:r>
      <w:r>
        <w:rPr>
          <w:rFonts w:hint="eastAsia" w:eastAsia="方正仿宋_GBK"/>
          <w:color w:val="auto"/>
          <w:sz w:val="32"/>
          <w:highlight w:val="none"/>
          <w:shd w:val="clear" w:color="auto" w:fill="auto"/>
        </w:rPr>
        <w:t>城乡社区支出预算262.43万元，</w:t>
      </w:r>
      <w:r>
        <w:rPr>
          <w:rFonts w:eastAsia="方正仿宋_GBK"/>
          <w:color w:val="auto"/>
          <w:sz w:val="32"/>
          <w:highlight w:val="none"/>
          <w:shd w:val="clear" w:color="auto" w:fill="auto"/>
        </w:rPr>
        <w:t>住房保障支出预算</w:t>
      </w:r>
      <w:r>
        <w:rPr>
          <w:rFonts w:hint="eastAsia" w:eastAsia="方正仿宋_GBK"/>
          <w:color w:val="auto"/>
          <w:sz w:val="32"/>
          <w:highlight w:val="none"/>
          <w:shd w:val="clear" w:color="auto" w:fill="auto"/>
          <w:lang w:val="en-US" w:eastAsia="zh-CN"/>
        </w:rPr>
        <w:t>16.21</w:t>
      </w:r>
      <w:r>
        <w:rPr>
          <w:rFonts w:eastAsia="方正仿宋_GBK"/>
          <w:color w:val="auto"/>
          <w:sz w:val="32"/>
          <w:highlight w:val="none"/>
          <w:shd w:val="clear" w:color="auto" w:fill="auto"/>
        </w:rPr>
        <w:t>万元。支出预算较</w:t>
      </w:r>
      <w:r>
        <w:rPr>
          <w:rFonts w:hint="eastAsia" w:eastAsia="方正仿宋_GBK"/>
          <w:color w:val="auto"/>
          <w:sz w:val="32"/>
          <w:highlight w:val="none"/>
          <w:shd w:val="clear" w:color="auto" w:fill="auto"/>
          <w:lang w:val="en-US" w:eastAsia="zh-CN"/>
        </w:rPr>
        <w:t>2024</w:t>
      </w:r>
      <w:r>
        <w:rPr>
          <w:rFonts w:eastAsia="方正仿宋_GBK"/>
          <w:color w:val="auto"/>
          <w:sz w:val="32"/>
          <w:highlight w:val="none"/>
          <w:shd w:val="clear" w:color="auto" w:fill="auto"/>
        </w:rPr>
        <w:t>年</w:t>
      </w:r>
      <w:r>
        <w:rPr>
          <w:rFonts w:hint="eastAsia" w:eastAsia="方正仿宋_GBK"/>
          <w:color w:val="auto"/>
          <w:sz w:val="32"/>
          <w:highlight w:val="none"/>
          <w:shd w:val="clear" w:color="auto" w:fill="auto"/>
          <w:lang w:val="en-US" w:eastAsia="zh-CN"/>
        </w:rPr>
        <w:t>增加</w:t>
      </w:r>
      <w:r>
        <w:rPr>
          <w:rFonts w:hint="eastAsia" w:eastAsia="方正仿宋_GBK"/>
          <w:color w:val="auto"/>
          <w:sz w:val="32"/>
          <w:highlight w:val="none"/>
          <w:lang w:val="en-US" w:eastAsia="zh-CN"/>
        </w:rPr>
        <w:t>71.48</w:t>
      </w:r>
      <w:r>
        <w:rPr>
          <w:rFonts w:eastAsia="方正仿宋_GBK"/>
          <w:color w:val="auto"/>
          <w:sz w:val="32"/>
          <w:highlight w:val="none"/>
          <w:shd w:val="clear" w:color="auto" w:fill="auto"/>
        </w:rPr>
        <w:t>万元，主要是基本支出预算</w:t>
      </w:r>
      <w:r>
        <w:rPr>
          <w:rFonts w:hint="eastAsia" w:eastAsia="方正仿宋_GBK"/>
          <w:color w:val="auto"/>
          <w:sz w:val="32"/>
          <w:highlight w:val="none"/>
          <w:shd w:val="clear" w:color="auto" w:fill="auto"/>
          <w:lang w:val="en-US" w:eastAsia="zh-CN"/>
        </w:rPr>
        <w:t>增加</w:t>
      </w:r>
      <w:r>
        <w:rPr>
          <w:rFonts w:hint="eastAsia" w:eastAsia="方正仿宋_GBK"/>
          <w:color w:val="auto"/>
          <w:sz w:val="32"/>
          <w:highlight w:val="none"/>
          <w:lang w:val="en-US" w:eastAsia="zh-CN"/>
        </w:rPr>
        <w:t>71.48</w:t>
      </w:r>
      <w:r>
        <w:rPr>
          <w:rFonts w:eastAsia="方正仿宋_GBK"/>
          <w:color w:val="auto"/>
          <w:sz w:val="32"/>
          <w:highlight w:val="none"/>
          <w:shd w:val="clear" w:color="auto" w:fill="auto"/>
        </w:rPr>
        <w:t>万元。</w:t>
      </w:r>
    </w:p>
    <w:p>
      <w:pPr>
        <w:spacing w:line="600" w:lineRule="exact"/>
        <w:ind w:left="640"/>
        <w:rPr>
          <w:rFonts w:eastAsia="方正黑体_GBK"/>
          <w:sz w:val="32"/>
          <w:highlight w:val="none"/>
        </w:rPr>
      </w:pPr>
      <w:r>
        <w:rPr>
          <w:rFonts w:eastAsia="方正黑体_GBK"/>
          <w:sz w:val="32"/>
          <w:highlight w:val="none"/>
        </w:rPr>
        <w:t>三、部门预算情况说明</w:t>
      </w:r>
    </w:p>
    <w:p>
      <w:pPr>
        <w:spacing w:line="600" w:lineRule="exact"/>
        <w:ind w:firstLine="640" w:firstLineChars="200"/>
        <w:rPr>
          <w:rFonts w:eastAsia="方正仿宋_GBK"/>
          <w:sz w:val="32"/>
          <w:highlight w:val="none"/>
        </w:rPr>
      </w:pPr>
      <w:r>
        <w:rPr>
          <w:rFonts w:hint="eastAsia" w:eastAsia="方正仿宋_GBK"/>
          <w:sz w:val="32"/>
          <w:highlight w:val="none"/>
          <w:lang w:val="en-US" w:eastAsia="zh-CN"/>
        </w:rPr>
        <w:t>2025</w:t>
      </w:r>
      <w:r>
        <w:rPr>
          <w:rFonts w:eastAsia="方正仿宋_GBK"/>
          <w:sz w:val="32"/>
          <w:highlight w:val="none"/>
        </w:rPr>
        <w:t>年一般公共预算财政拨款收入</w:t>
      </w:r>
      <w:r>
        <w:rPr>
          <w:rFonts w:hint="eastAsia" w:eastAsia="方正仿宋_GBK"/>
          <w:color w:val="auto"/>
          <w:sz w:val="32"/>
          <w:highlight w:val="none"/>
        </w:rPr>
        <w:t>345.62</w:t>
      </w:r>
      <w:r>
        <w:rPr>
          <w:rFonts w:eastAsia="方正仿宋_GBK"/>
          <w:sz w:val="32"/>
          <w:highlight w:val="none"/>
        </w:rPr>
        <w:t>万元，一般公共预算财政拨款支出</w:t>
      </w:r>
      <w:r>
        <w:rPr>
          <w:rFonts w:hint="eastAsia" w:eastAsia="方正仿宋_GBK"/>
          <w:color w:val="auto"/>
          <w:sz w:val="32"/>
          <w:highlight w:val="none"/>
        </w:rPr>
        <w:t>345.62</w:t>
      </w:r>
      <w:r>
        <w:rPr>
          <w:rFonts w:eastAsia="方正仿宋_GBK"/>
          <w:sz w:val="32"/>
          <w:highlight w:val="none"/>
        </w:rPr>
        <w:t>万元，比</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color w:val="auto"/>
          <w:sz w:val="32"/>
          <w:highlight w:val="none"/>
          <w:lang w:val="en-US" w:eastAsia="zh-CN"/>
        </w:rPr>
        <w:t>增加71.48</w:t>
      </w:r>
      <w:r>
        <w:rPr>
          <w:rFonts w:eastAsia="方正仿宋_GBK"/>
          <w:sz w:val="32"/>
          <w:highlight w:val="none"/>
        </w:rPr>
        <w:t>万元。其中：基本支出</w:t>
      </w:r>
      <w:r>
        <w:rPr>
          <w:rFonts w:hint="eastAsia" w:eastAsia="方正仿宋_GBK"/>
          <w:color w:val="auto"/>
          <w:sz w:val="32"/>
          <w:highlight w:val="none"/>
        </w:rPr>
        <w:t>345.62</w:t>
      </w:r>
      <w:r>
        <w:rPr>
          <w:rFonts w:eastAsia="方正仿宋_GBK"/>
          <w:sz w:val="32"/>
          <w:highlight w:val="none"/>
        </w:rPr>
        <w:t>万元，比</w:t>
      </w:r>
      <w:r>
        <w:rPr>
          <w:rFonts w:hint="eastAsia" w:eastAsia="方正仿宋_GBK"/>
          <w:sz w:val="32"/>
          <w:highlight w:val="none"/>
          <w:lang w:val="en-US" w:eastAsia="zh-CN"/>
        </w:rPr>
        <w:t>2024</w:t>
      </w:r>
      <w:r>
        <w:rPr>
          <w:rFonts w:eastAsia="方正仿宋_GBK"/>
          <w:sz w:val="32"/>
          <w:highlight w:val="none"/>
        </w:rPr>
        <w:t>年</w:t>
      </w:r>
      <w:r>
        <w:rPr>
          <w:rFonts w:hint="eastAsia" w:eastAsia="方正仿宋_GBK"/>
          <w:color w:val="auto"/>
          <w:sz w:val="32"/>
          <w:highlight w:val="none"/>
          <w:lang w:val="en-US" w:eastAsia="zh-CN"/>
        </w:rPr>
        <w:t>增加71.48</w:t>
      </w:r>
      <w:r>
        <w:rPr>
          <w:rFonts w:eastAsia="方正仿宋_GBK"/>
          <w:sz w:val="32"/>
          <w:highlight w:val="none"/>
        </w:rPr>
        <w:t>万元，主要原因是</w:t>
      </w:r>
      <w:r>
        <w:rPr>
          <w:rFonts w:hint="eastAsia" w:eastAsia="方正仿宋_GBK"/>
          <w:sz w:val="32"/>
          <w:highlight w:val="none"/>
          <w:lang w:val="en-US" w:eastAsia="zh-CN"/>
        </w:rPr>
        <w:t>调标相应增加的工资福利支出等</w:t>
      </w:r>
      <w:r>
        <w:rPr>
          <w:rFonts w:eastAsia="方正仿宋_GBK"/>
          <w:sz w:val="32"/>
          <w:highlight w:val="none"/>
        </w:rPr>
        <w:t>，主要用于保障在职人员工资福利及社会保险缴费，离休人员离休费，退休人员补助等，保障部门正常运转的各项商品服务支出；项目支出</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val="en-US" w:eastAsia="zh-CN"/>
        </w:rPr>
        <w:t>与2024年持平</w:t>
      </w:r>
      <w:r>
        <w:rPr>
          <w:rFonts w:eastAsia="方正仿宋_GBK"/>
          <w:sz w:val="32"/>
          <w:highlight w:val="none"/>
        </w:rPr>
        <w:t>。</w:t>
      </w:r>
    </w:p>
    <w:p>
      <w:pPr>
        <w:spacing w:line="600" w:lineRule="exact"/>
        <w:ind w:firstLine="640" w:firstLineChars="200"/>
        <w:rPr>
          <w:rFonts w:hint="eastAsia" w:eastAsia="方正仿宋_GBK"/>
          <w:sz w:val="32"/>
          <w:highlight w:val="none"/>
        </w:rPr>
      </w:pPr>
      <w:r>
        <w:rPr>
          <w:rFonts w:hint="eastAsia" w:eastAsia="方正仿宋_GBK"/>
          <w:sz w:val="32"/>
          <w:highlight w:val="none"/>
          <w:lang w:val="en-US" w:eastAsia="zh-CN"/>
        </w:rPr>
        <w:t>2025</w:t>
      </w:r>
      <w:r>
        <w:rPr>
          <w:rFonts w:eastAsia="方正仿宋_GBK"/>
          <w:sz w:val="32"/>
          <w:highlight w:val="none"/>
        </w:rPr>
        <w:t>年政府性基金预算收入</w:t>
      </w:r>
      <w:r>
        <w:rPr>
          <w:rFonts w:hint="eastAsia" w:eastAsia="方正仿宋_GBK"/>
          <w:sz w:val="32"/>
          <w:highlight w:val="none"/>
          <w:lang w:val="en-US" w:eastAsia="zh-CN"/>
        </w:rPr>
        <w:t>0</w:t>
      </w:r>
      <w:r>
        <w:rPr>
          <w:rFonts w:eastAsia="方正仿宋_GBK"/>
          <w:sz w:val="32"/>
          <w:highlight w:val="none"/>
        </w:rPr>
        <w:t xml:space="preserve">万元，政府性基金预算支出  </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val="en-US" w:eastAsia="zh-CN"/>
        </w:rPr>
        <w:t>与2024年持平</w:t>
      </w:r>
      <w:r>
        <w:rPr>
          <w:rFonts w:hint="eastAsia" w:eastAsia="方正仿宋_GBK"/>
          <w:color w:val="auto"/>
          <w:sz w:val="32"/>
          <w:highlight w:val="none"/>
          <w:lang w:val="en-US" w:eastAsia="zh-CN"/>
        </w:rPr>
        <w:t>。</w:t>
      </w:r>
    </w:p>
    <w:p>
      <w:pPr>
        <w:spacing w:line="600" w:lineRule="exact"/>
        <w:ind w:left="640"/>
        <w:rPr>
          <w:rFonts w:eastAsia="方正仿宋_GBK"/>
          <w:sz w:val="32"/>
          <w:highlight w:val="none"/>
        </w:rPr>
      </w:pPr>
      <w:r>
        <w:rPr>
          <w:rFonts w:eastAsia="方正黑体_GBK"/>
          <w:sz w:val="32"/>
          <w:highlight w:val="none"/>
        </w:rPr>
        <w:t>四、</w:t>
      </w:r>
      <w:r>
        <w:rPr>
          <w:rFonts w:hint="eastAsia" w:ascii="方正黑体_GBK" w:eastAsia="方正黑体_GBK"/>
          <w:sz w:val="32"/>
          <w:highlight w:val="none"/>
        </w:rPr>
        <w:t>“三公”经</w:t>
      </w:r>
      <w:r>
        <w:rPr>
          <w:rFonts w:eastAsia="方正黑体_GBK"/>
          <w:sz w:val="32"/>
          <w:highlight w:val="none"/>
        </w:rPr>
        <w:t>费情况说明</w:t>
      </w:r>
    </w:p>
    <w:p>
      <w:pPr>
        <w:spacing w:line="600" w:lineRule="exact"/>
        <w:ind w:firstLine="600"/>
        <w:rPr>
          <w:rFonts w:eastAsia="方正仿宋_GBK"/>
          <w:sz w:val="32"/>
          <w:highlight w:val="none"/>
        </w:rPr>
      </w:pPr>
      <w:r>
        <w:rPr>
          <w:rFonts w:hint="eastAsia" w:eastAsia="方正仿宋_GBK"/>
          <w:sz w:val="32"/>
          <w:highlight w:val="none"/>
          <w:lang w:val="en-US" w:eastAsia="zh-CN"/>
        </w:rPr>
        <w:t>2025</w:t>
      </w:r>
      <w:r>
        <w:rPr>
          <w:rFonts w:eastAsia="方正仿宋_GBK"/>
          <w:sz w:val="32"/>
          <w:highlight w:val="none"/>
        </w:rPr>
        <w:t>年</w:t>
      </w:r>
      <w:r>
        <w:rPr>
          <w:rFonts w:hint="eastAsia" w:ascii="方正仿宋_GBK" w:eastAsia="方正仿宋_GBK"/>
          <w:sz w:val="32"/>
          <w:highlight w:val="none"/>
        </w:rPr>
        <w:t>“三公”经</w:t>
      </w:r>
      <w:r>
        <w:rPr>
          <w:rFonts w:eastAsia="方正仿宋_GBK"/>
          <w:sz w:val="32"/>
          <w:highlight w:val="none"/>
        </w:rPr>
        <w:t>费预算</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val="en-US" w:eastAsia="zh-CN"/>
        </w:rPr>
        <w:t>与2024年持平</w:t>
      </w:r>
      <w:r>
        <w:rPr>
          <w:rFonts w:eastAsia="方正仿宋_GBK"/>
          <w:sz w:val="32"/>
          <w:highlight w:val="none"/>
        </w:rPr>
        <w:t>。其中：因公出国（境）费用</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val="en-US" w:eastAsia="zh-CN"/>
        </w:rPr>
        <w:t>与2024年持平</w:t>
      </w:r>
      <w:r>
        <w:rPr>
          <w:rFonts w:eastAsia="方正仿宋_GBK"/>
          <w:sz w:val="32"/>
          <w:highlight w:val="none"/>
        </w:rPr>
        <w:t>；公务接待费</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val="en-US" w:eastAsia="zh-CN"/>
        </w:rPr>
        <w:t>与2024年持平</w:t>
      </w:r>
      <w:r>
        <w:rPr>
          <w:rFonts w:eastAsia="方正仿宋_GBK"/>
          <w:sz w:val="32"/>
          <w:highlight w:val="none"/>
        </w:rPr>
        <w:t>；公务用车运行维护费</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val="en-US" w:eastAsia="zh-CN"/>
        </w:rPr>
        <w:t>与2024年持平</w:t>
      </w:r>
      <w:r>
        <w:rPr>
          <w:rFonts w:eastAsia="方正仿宋_GBK"/>
          <w:sz w:val="32"/>
          <w:highlight w:val="none"/>
        </w:rPr>
        <w:t>；公务用车购置费</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val="en-US" w:eastAsia="zh-CN"/>
        </w:rPr>
        <w:t>与2024年持平</w:t>
      </w:r>
      <w:r>
        <w:rPr>
          <w:rFonts w:eastAsia="方正仿宋_GBK"/>
          <w:sz w:val="32"/>
          <w:highlight w:val="none"/>
        </w:rPr>
        <w:t>。</w:t>
      </w:r>
    </w:p>
    <w:p>
      <w:pPr>
        <w:spacing w:line="600" w:lineRule="exact"/>
        <w:ind w:left="640"/>
        <w:rPr>
          <w:rFonts w:eastAsia="方正黑体_GBK"/>
          <w:sz w:val="32"/>
          <w:highlight w:val="none"/>
        </w:rPr>
      </w:pPr>
      <w:r>
        <w:rPr>
          <w:rFonts w:eastAsia="方正黑体_GBK"/>
          <w:sz w:val="32"/>
          <w:highlight w:val="none"/>
        </w:rPr>
        <w:t>五、其他重要事项的情况说明</w:t>
      </w:r>
    </w:p>
    <w:p>
      <w:pPr>
        <w:ind w:firstLine="643" w:firstLineChars="200"/>
        <w:rPr>
          <w:rFonts w:eastAsia="方正仿宋_GBK"/>
          <w:sz w:val="32"/>
          <w:highlight w:val="none"/>
        </w:rPr>
      </w:pPr>
      <w:r>
        <w:rPr>
          <w:rFonts w:hint="default" w:ascii="Times New Roman" w:hAnsi="Times New Roman" w:eastAsia="方正仿宋_GBK" w:cs="Times New Roman"/>
          <w:b/>
          <w:sz w:val="32"/>
          <w:highlight w:val="none"/>
        </w:rPr>
        <w:t>1、机关运行经费。</w:t>
      </w:r>
      <w:r>
        <w:rPr>
          <w:rFonts w:eastAsia="方正仿宋_GBK"/>
          <w:sz w:val="32"/>
          <w:highlight w:val="none"/>
        </w:rPr>
        <w:t>我单位不在机关运行经费统计范围之内。</w:t>
      </w:r>
    </w:p>
    <w:p>
      <w:pPr>
        <w:ind w:firstLine="643" w:firstLineChars="200"/>
        <w:rPr>
          <w:rFonts w:eastAsia="方正仿宋_GBK"/>
          <w:sz w:val="32"/>
          <w:highlight w:val="none"/>
        </w:rPr>
      </w:pPr>
      <w:r>
        <w:rPr>
          <w:rFonts w:eastAsia="方正仿宋_GBK"/>
          <w:b/>
          <w:sz w:val="32"/>
          <w:highlight w:val="none"/>
        </w:rPr>
        <w:t>2</w:t>
      </w:r>
      <w:r>
        <w:rPr>
          <w:rFonts w:hint="eastAsia" w:eastAsia="方正仿宋_GBK"/>
          <w:b/>
          <w:sz w:val="32"/>
          <w:highlight w:val="none"/>
          <w:lang w:eastAsia="zh-CN"/>
        </w:rPr>
        <w:t>、</w:t>
      </w:r>
      <w:r>
        <w:rPr>
          <w:rFonts w:eastAsia="方正仿宋_GBK"/>
          <w:b/>
          <w:sz w:val="32"/>
          <w:highlight w:val="none"/>
        </w:rPr>
        <w:t>政府采购情况。</w:t>
      </w:r>
      <w:r>
        <w:rPr>
          <w:rFonts w:eastAsia="方正仿宋_GBK"/>
          <w:sz w:val="32"/>
          <w:highlight w:val="none"/>
        </w:rPr>
        <w:t>预算单位政府采购预算总额</w:t>
      </w:r>
      <w:r>
        <w:rPr>
          <w:rFonts w:hint="eastAsia" w:eastAsia="方正仿宋_GBK"/>
          <w:sz w:val="32"/>
          <w:highlight w:val="none"/>
          <w:lang w:val="en-US" w:eastAsia="zh-CN"/>
        </w:rPr>
        <w:t>4.43</w:t>
      </w:r>
      <w:r>
        <w:rPr>
          <w:rFonts w:eastAsia="方正仿宋_GBK"/>
          <w:sz w:val="32"/>
          <w:highlight w:val="none"/>
        </w:rPr>
        <w:t>万元：政府采购货物预算</w:t>
      </w:r>
      <w:r>
        <w:rPr>
          <w:rFonts w:hint="eastAsia" w:eastAsia="方正仿宋_GBK"/>
          <w:sz w:val="32"/>
          <w:highlight w:val="none"/>
          <w:lang w:val="en-US" w:eastAsia="zh-CN"/>
        </w:rPr>
        <w:t>4.43</w:t>
      </w:r>
      <w:r>
        <w:rPr>
          <w:rFonts w:eastAsia="方正仿宋_GBK"/>
          <w:sz w:val="32"/>
          <w:highlight w:val="none"/>
        </w:rPr>
        <w:t>万元、政府采购工程预算</w:t>
      </w:r>
      <w:r>
        <w:rPr>
          <w:rFonts w:hint="eastAsia" w:eastAsia="方正仿宋_GBK"/>
          <w:sz w:val="32"/>
          <w:highlight w:val="none"/>
          <w:lang w:val="en-US" w:eastAsia="zh-CN"/>
        </w:rPr>
        <w:t>0</w:t>
      </w:r>
      <w:r>
        <w:rPr>
          <w:rFonts w:eastAsia="方正仿宋_GBK"/>
          <w:sz w:val="32"/>
          <w:highlight w:val="none"/>
        </w:rPr>
        <w:t>万元、政府采购服务预算</w:t>
      </w:r>
      <w:r>
        <w:rPr>
          <w:rFonts w:hint="eastAsia" w:eastAsia="方正仿宋_GBK"/>
          <w:sz w:val="32"/>
          <w:highlight w:val="none"/>
          <w:lang w:val="en-US" w:eastAsia="zh-CN"/>
        </w:rPr>
        <w:t>0</w:t>
      </w:r>
      <w:r>
        <w:rPr>
          <w:rFonts w:eastAsia="方正仿宋_GBK"/>
          <w:sz w:val="32"/>
          <w:highlight w:val="none"/>
        </w:rPr>
        <w:t>万元；其中一般公共预算拨款政府采购</w:t>
      </w:r>
      <w:r>
        <w:rPr>
          <w:rFonts w:hint="eastAsia" w:eastAsia="方正仿宋_GBK"/>
          <w:sz w:val="32"/>
          <w:highlight w:val="none"/>
          <w:lang w:val="en-US" w:eastAsia="zh-CN"/>
        </w:rPr>
        <w:t>4.43</w:t>
      </w:r>
      <w:r>
        <w:rPr>
          <w:rFonts w:eastAsia="方正仿宋_GBK"/>
          <w:sz w:val="32"/>
          <w:highlight w:val="none"/>
        </w:rPr>
        <w:t>万元：政府采购货物预算</w:t>
      </w:r>
      <w:r>
        <w:rPr>
          <w:rFonts w:hint="eastAsia" w:eastAsia="方正仿宋_GBK"/>
          <w:sz w:val="32"/>
          <w:highlight w:val="none"/>
          <w:lang w:val="en-US" w:eastAsia="zh-CN"/>
        </w:rPr>
        <w:t>4.43</w:t>
      </w:r>
      <w:r>
        <w:rPr>
          <w:rFonts w:eastAsia="方正仿宋_GBK"/>
          <w:sz w:val="32"/>
          <w:highlight w:val="none"/>
        </w:rPr>
        <w:t>万元、政府采购工程预算</w:t>
      </w:r>
      <w:r>
        <w:rPr>
          <w:rFonts w:hint="eastAsia" w:eastAsia="方正仿宋_GBK"/>
          <w:sz w:val="32"/>
          <w:highlight w:val="none"/>
          <w:lang w:val="en-US" w:eastAsia="zh-CN"/>
        </w:rPr>
        <w:t>0</w:t>
      </w:r>
      <w:r>
        <w:rPr>
          <w:rFonts w:eastAsia="方正仿宋_GBK"/>
          <w:sz w:val="32"/>
          <w:highlight w:val="none"/>
        </w:rPr>
        <w:t>万元、政府采购服务预算</w:t>
      </w:r>
      <w:r>
        <w:rPr>
          <w:rFonts w:hint="eastAsia" w:eastAsia="方正仿宋_GBK"/>
          <w:sz w:val="32"/>
          <w:highlight w:val="none"/>
          <w:lang w:val="en-US" w:eastAsia="zh-CN"/>
        </w:rPr>
        <w:t>0</w:t>
      </w:r>
      <w:r>
        <w:rPr>
          <w:rFonts w:eastAsia="方正仿宋_GBK"/>
          <w:sz w:val="32"/>
          <w:highlight w:val="none"/>
        </w:rPr>
        <w:t>万元。</w:t>
      </w:r>
    </w:p>
    <w:p>
      <w:pPr>
        <w:ind w:firstLine="643" w:firstLineChars="200"/>
        <w:rPr>
          <w:rFonts w:eastAsia="方正仿宋_GBK"/>
          <w:color w:val="000000"/>
          <w:sz w:val="32"/>
          <w:highlight w:val="none"/>
        </w:rPr>
      </w:pPr>
      <w:r>
        <w:rPr>
          <w:rFonts w:eastAsia="方正仿宋_GBK"/>
          <w:b/>
          <w:sz w:val="32"/>
          <w:highlight w:val="none"/>
        </w:rPr>
        <w:t>3、绩效目标设置情况。</w:t>
      </w:r>
      <w:r>
        <w:rPr>
          <w:rFonts w:hint="default" w:ascii="Times New Roman" w:hAnsi="Times New Roman" w:eastAsia="方正仿宋_GBK" w:cs="Times New Roman"/>
          <w:sz w:val="32"/>
          <w:szCs w:val="32"/>
          <w:lang w:val="en-US" w:eastAsia="zh-CN"/>
        </w:rPr>
        <w:t>本单位无相关收支</w:t>
      </w:r>
      <w:r>
        <w:rPr>
          <w:rFonts w:eastAsia="方正仿宋_GBK"/>
          <w:color w:val="000000"/>
          <w:sz w:val="32"/>
          <w:highlight w:val="none"/>
        </w:rPr>
        <w:t>。</w:t>
      </w:r>
    </w:p>
    <w:p>
      <w:pPr>
        <w:ind w:firstLine="643" w:firstLineChars="200"/>
        <w:rPr>
          <w:rFonts w:eastAsia="方正仿宋_GBK"/>
          <w:color w:val="000000"/>
          <w:sz w:val="32"/>
          <w:highlight w:val="none"/>
        </w:rPr>
      </w:pPr>
      <w:r>
        <w:rPr>
          <w:rFonts w:eastAsia="方正仿宋_GBK"/>
          <w:b/>
          <w:color w:val="000000"/>
          <w:sz w:val="32"/>
          <w:highlight w:val="none"/>
        </w:rPr>
        <w:t>4、国有资产占有使用情况。</w:t>
      </w:r>
      <w:r>
        <w:rPr>
          <w:rFonts w:eastAsia="方正仿宋_GBK"/>
          <w:color w:val="000000"/>
          <w:sz w:val="32"/>
          <w:highlight w:val="none"/>
        </w:rPr>
        <w:t>截</w:t>
      </w:r>
      <w:r>
        <w:rPr>
          <w:rFonts w:hint="eastAsia" w:eastAsia="方正仿宋_GBK"/>
          <w:color w:val="000000"/>
          <w:sz w:val="32"/>
          <w:highlight w:val="none"/>
          <w:lang w:eastAsia="zh-CN"/>
        </w:rPr>
        <w:t>至</w:t>
      </w:r>
      <w:r>
        <w:rPr>
          <w:rFonts w:hint="eastAsia" w:eastAsia="方正仿宋_GBK"/>
          <w:color w:val="000000"/>
          <w:sz w:val="32"/>
          <w:highlight w:val="none"/>
          <w:lang w:val="en-US" w:eastAsia="zh-CN"/>
        </w:rPr>
        <w:t>2024</w:t>
      </w:r>
      <w:r>
        <w:rPr>
          <w:rFonts w:eastAsia="方正仿宋_GBK"/>
          <w:color w:val="000000"/>
          <w:sz w:val="32"/>
          <w:highlight w:val="none"/>
        </w:rPr>
        <w:t>年12月，</w:t>
      </w:r>
      <w:r>
        <w:rPr>
          <w:rFonts w:hint="eastAsia" w:eastAsia="方正仿宋_GBK"/>
          <w:color w:val="000000"/>
          <w:sz w:val="32"/>
          <w:highlight w:val="none"/>
          <w:lang w:eastAsia="zh-CN"/>
        </w:rPr>
        <w:t>我</w:t>
      </w:r>
      <w:r>
        <w:rPr>
          <w:rFonts w:eastAsia="方正仿宋_GBK"/>
          <w:color w:val="000000"/>
          <w:sz w:val="32"/>
          <w:highlight w:val="none"/>
        </w:rPr>
        <w:t>单位共有车辆</w:t>
      </w:r>
      <w:r>
        <w:rPr>
          <w:rFonts w:hint="eastAsia" w:eastAsia="方正仿宋_GBK"/>
          <w:color w:val="000000"/>
          <w:sz w:val="32"/>
          <w:highlight w:val="none"/>
          <w:lang w:val="en-US" w:eastAsia="zh-CN"/>
        </w:rPr>
        <w:t>11</w:t>
      </w:r>
      <w:r>
        <w:rPr>
          <w:rFonts w:eastAsia="方正仿宋_GBK"/>
          <w:color w:val="000000"/>
          <w:sz w:val="32"/>
          <w:highlight w:val="none"/>
        </w:rPr>
        <w:t>辆，其中一般公务用车</w:t>
      </w:r>
      <w:r>
        <w:rPr>
          <w:rFonts w:hint="eastAsia" w:eastAsia="方正仿宋_GBK"/>
          <w:color w:val="000000"/>
          <w:sz w:val="32"/>
          <w:highlight w:val="none"/>
          <w:lang w:val="en-US" w:eastAsia="zh-CN"/>
        </w:rPr>
        <w:t>0</w:t>
      </w:r>
      <w:r>
        <w:rPr>
          <w:rFonts w:eastAsia="方正仿宋_GBK"/>
          <w:color w:val="000000"/>
          <w:sz w:val="32"/>
          <w:highlight w:val="none"/>
        </w:rPr>
        <w:t>辆、执勤执法用车</w:t>
      </w:r>
      <w:r>
        <w:rPr>
          <w:rFonts w:hint="eastAsia" w:eastAsia="方正仿宋_GBK"/>
          <w:color w:val="000000"/>
          <w:sz w:val="32"/>
          <w:highlight w:val="none"/>
          <w:lang w:val="en-US" w:eastAsia="zh-CN"/>
        </w:rPr>
        <w:t>0</w:t>
      </w:r>
      <w:r>
        <w:rPr>
          <w:rFonts w:eastAsia="方正仿宋_GBK"/>
          <w:color w:val="000000"/>
          <w:sz w:val="32"/>
          <w:highlight w:val="none"/>
        </w:rPr>
        <w:t>辆</w:t>
      </w:r>
      <w:r>
        <w:rPr>
          <w:rFonts w:hint="eastAsia" w:eastAsia="方正仿宋_GBK"/>
          <w:color w:val="000000"/>
          <w:sz w:val="32"/>
          <w:highlight w:val="none"/>
          <w:lang w:eastAsia="zh-CN"/>
        </w:rPr>
        <w:t>，</w:t>
      </w:r>
      <w:r>
        <w:rPr>
          <w:rFonts w:hint="eastAsia" w:eastAsia="方正仿宋_GBK"/>
          <w:color w:val="000000"/>
          <w:sz w:val="32"/>
          <w:highlight w:val="none"/>
          <w:lang w:val="en-US" w:eastAsia="zh-CN"/>
        </w:rPr>
        <w:t>特种专业技术用车11辆</w:t>
      </w:r>
      <w:r>
        <w:rPr>
          <w:rFonts w:eastAsia="方正仿宋_GBK"/>
          <w:color w:val="000000"/>
          <w:sz w:val="32"/>
          <w:highlight w:val="none"/>
        </w:rPr>
        <w:t>。</w:t>
      </w:r>
      <w:r>
        <w:rPr>
          <w:rFonts w:hint="eastAsia" w:eastAsia="方正仿宋_GBK"/>
          <w:color w:val="000000"/>
          <w:sz w:val="32"/>
          <w:highlight w:val="none"/>
          <w:lang w:val="en-US" w:eastAsia="zh-CN"/>
        </w:rPr>
        <w:t>2025</w:t>
      </w:r>
      <w:r>
        <w:rPr>
          <w:rFonts w:eastAsia="方正仿宋_GBK"/>
          <w:color w:val="000000"/>
          <w:sz w:val="32"/>
          <w:highlight w:val="none"/>
        </w:rPr>
        <w:t>年一般公共预算安排购置车辆</w:t>
      </w:r>
      <w:r>
        <w:rPr>
          <w:rFonts w:hint="eastAsia" w:eastAsia="方正仿宋_GBK"/>
          <w:color w:val="000000"/>
          <w:sz w:val="32"/>
          <w:highlight w:val="none"/>
          <w:lang w:val="en-US" w:eastAsia="zh-CN"/>
        </w:rPr>
        <w:t>0</w:t>
      </w:r>
      <w:r>
        <w:rPr>
          <w:rFonts w:eastAsia="方正仿宋_GBK"/>
          <w:color w:val="000000"/>
          <w:sz w:val="32"/>
          <w:highlight w:val="none"/>
        </w:rPr>
        <w:t>辆，其中一般公务用车</w:t>
      </w:r>
      <w:r>
        <w:rPr>
          <w:rFonts w:hint="eastAsia" w:eastAsia="方正仿宋_GBK"/>
          <w:color w:val="000000"/>
          <w:sz w:val="32"/>
          <w:highlight w:val="none"/>
          <w:lang w:val="en-US" w:eastAsia="zh-CN"/>
        </w:rPr>
        <w:t>0</w:t>
      </w:r>
      <w:r>
        <w:rPr>
          <w:rFonts w:eastAsia="方正仿宋_GBK"/>
          <w:color w:val="000000"/>
          <w:sz w:val="32"/>
          <w:highlight w:val="none"/>
        </w:rPr>
        <w:t>辆、执勤执法用车</w:t>
      </w:r>
      <w:r>
        <w:rPr>
          <w:rFonts w:hint="eastAsia" w:eastAsia="方正仿宋_GBK"/>
          <w:color w:val="000000"/>
          <w:sz w:val="32"/>
          <w:highlight w:val="none"/>
          <w:lang w:val="en-US" w:eastAsia="zh-CN"/>
        </w:rPr>
        <w:t>0</w:t>
      </w:r>
      <w:r>
        <w:rPr>
          <w:rFonts w:eastAsia="方正仿宋_GBK"/>
          <w:color w:val="000000"/>
          <w:sz w:val="32"/>
          <w:highlight w:val="none"/>
        </w:rPr>
        <w:t>辆。</w:t>
      </w:r>
    </w:p>
    <w:p>
      <w:pPr>
        <w:ind w:firstLine="640" w:firstLineChars="200"/>
        <w:rPr>
          <w:rFonts w:eastAsia="方正黑体_GBK"/>
          <w:sz w:val="32"/>
          <w:highlight w:val="none"/>
        </w:rPr>
      </w:pPr>
      <w:r>
        <w:rPr>
          <w:rFonts w:eastAsia="方正黑体_GBK"/>
          <w:sz w:val="32"/>
          <w:highlight w:val="none"/>
        </w:rPr>
        <w:t>六、专业性名词解释</w:t>
      </w:r>
    </w:p>
    <w:p>
      <w:pPr>
        <w:pStyle w:val="18"/>
        <w:tabs>
          <w:tab w:val="center" w:pos="4153"/>
          <w:tab w:val="left" w:pos="7275"/>
        </w:tabs>
        <w:spacing w:line="600" w:lineRule="exact"/>
        <w:ind w:firstLine="640"/>
        <w:jc w:val="left"/>
        <w:rPr>
          <w:rFonts w:ascii="Times New Roman" w:hAnsi="Times New Roman" w:eastAsia="方正仿宋_GBK"/>
          <w:sz w:val="32"/>
          <w:szCs w:val="32"/>
          <w:highlight w:val="none"/>
        </w:rPr>
      </w:pPr>
      <w:r>
        <w:rPr>
          <w:rFonts w:hint="eastAsia" w:ascii="Times New Roman" w:hAnsi="Times New Roman" w:eastAsia="方正楷体_GBK" w:cs="Times New Roman"/>
          <w:kern w:val="2"/>
          <w:sz w:val="32"/>
          <w:szCs w:val="24"/>
          <w:lang w:val="en-US" w:eastAsia="zh-CN" w:bidi="ar-SA"/>
        </w:rPr>
        <w:t>（一）财政拨款收入：</w:t>
      </w:r>
      <w:r>
        <w:rPr>
          <w:rFonts w:ascii="Times New Roman" w:hAnsi="Times New Roman" w:eastAsia="方正仿宋_GBK"/>
          <w:sz w:val="32"/>
          <w:szCs w:val="32"/>
          <w:highlight w:val="none"/>
        </w:rPr>
        <w:t>指本年度从本级财政部门取得的财政拨款，包括一般公共预算财政拨款和政府性基金预算财政拨款。</w:t>
      </w:r>
    </w:p>
    <w:p>
      <w:pPr>
        <w:pStyle w:val="18"/>
        <w:tabs>
          <w:tab w:val="center" w:pos="4153"/>
          <w:tab w:val="left" w:pos="7275"/>
        </w:tabs>
        <w:spacing w:line="600" w:lineRule="exact"/>
        <w:ind w:firstLine="640"/>
        <w:jc w:val="left"/>
        <w:rPr>
          <w:rFonts w:hint="eastAsia" w:ascii="方正仿宋_GBK" w:hAnsi="Times New Roman" w:eastAsia="方正仿宋_GBK"/>
          <w:sz w:val="32"/>
          <w:szCs w:val="32"/>
          <w:highlight w:val="none"/>
        </w:rPr>
      </w:pPr>
      <w:r>
        <w:rPr>
          <w:rFonts w:hint="eastAsia" w:ascii="方正楷体_GBK" w:hAnsi="Times New Roman" w:eastAsia="方正楷体_GBK"/>
          <w:sz w:val="32"/>
          <w:szCs w:val="32"/>
          <w:highlight w:val="none"/>
        </w:rPr>
        <w:t>（二）其他收入：</w:t>
      </w:r>
      <w:r>
        <w:rPr>
          <w:rFonts w:ascii="Times New Roman" w:hAnsi="Times New Roman" w:eastAsia="方正仿宋_GBK"/>
          <w:sz w:val="32"/>
          <w:szCs w:val="32"/>
          <w:highlight w:val="none"/>
        </w:rPr>
        <w:t>指单位取</w:t>
      </w:r>
      <w:r>
        <w:rPr>
          <w:rFonts w:hint="eastAsia" w:ascii="方正仿宋_GBK" w:hAnsi="Times New Roman" w:eastAsia="方正仿宋_GBK"/>
          <w:sz w:val="32"/>
          <w:szCs w:val="32"/>
          <w:highlight w:val="none"/>
        </w:rPr>
        <w:t>得的除“财政拨款收入</w:t>
      </w:r>
      <w:r>
        <w:rPr>
          <w:rFonts w:hint="eastAsia" w:ascii="方正仿宋_GBK" w:hAnsi="Times New Roman" w:eastAsia="方正仿宋_GBK"/>
          <w:sz w:val="32"/>
          <w:szCs w:val="32"/>
          <w:highlight w:val="none"/>
          <w:lang w:eastAsia="zh-CN"/>
        </w:rPr>
        <w:t>”“</w:t>
      </w:r>
      <w:r>
        <w:rPr>
          <w:rFonts w:hint="eastAsia" w:ascii="方正仿宋_GBK" w:hAnsi="Times New Roman" w:eastAsia="方正仿宋_GBK"/>
          <w:sz w:val="32"/>
          <w:szCs w:val="32"/>
          <w:highlight w:val="none"/>
        </w:rPr>
        <w:t>事业收入</w:t>
      </w:r>
      <w:r>
        <w:rPr>
          <w:rFonts w:hint="eastAsia" w:ascii="方正仿宋_GBK" w:hAnsi="Times New Roman" w:eastAsia="方正仿宋_GBK"/>
          <w:sz w:val="32"/>
          <w:szCs w:val="32"/>
          <w:highlight w:val="none"/>
          <w:lang w:eastAsia="zh-CN"/>
        </w:rPr>
        <w:t>”“</w:t>
      </w:r>
      <w:r>
        <w:rPr>
          <w:rFonts w:hint="eastAsia" w:ascii="方正仿宋_GBK" w:hAnsi="Times New Roman" w:eastAsia="方正仿宋_GBK"/>
          <w:sz w:val="32"/>
          <w:szCs w:val="32"/>
          <w:highlight w:val="none"/>
        </w:rPr>
        <w:t>经营收入”等以外的收入。</w:t>
      </w:r>
    </w:p>
    <w:p>
      <w:pPr>
        <w:pStyle w:val="18"/>
        <w:tabs>
          <w:tab w:val="center" w:pos="4153"/>
          <w:tab w:val="left" w:pos="7275"/>
        </w:tabs>
        <w:spacing w:line="600" w:lineRule="exact"/>
        <w:ind w:firstLine="640"/>
        <w:jc w:val="left"/>
        <w:rPr>
          <w:rFonts w:ascii="Times New Roman" w:hAnsi="Times New Roman" w:eastAsia="方正仿宋_GBK"/>
          <w:sz w:val="32"/>
          <w:szCs w:val="32"/>
          <w:highlight w:val="none"/>
        </w:rPr>
      </w:pPr>
      <w:r>
        <w:rPr>
          <w:rFonts w:hint="eastAsia" w:ascii="方正楷体_GBK" w:hAnsi="Times New Roman" w:eastAsia="方正楷体_GBK"/>
          <w:sz w:val="32"/>
          <w:szCs w:val="32"/>
          <w:highlight w:val="none"/>
        </w:rPr>
        <w:t>（三）基本支出：</w:t>
      </w:r>
      <w:r>
        <w:rPr>
          <w:rFonts w:ascii="Times New Roman" w:hAnsi="Times New Roman" w:eastAsia="方正仿宋_GBK"/>
          <w:sz w:val="32"/>
          <w:szCs w:val="32"/>
          <w:highlight w:val="none"/>
        </w:rPr>
        <w:t>指为保障机构正常运转、完成日常工作任务而发生的人员经费和公用经费。</w:t>
      </w:r>
    </w:p>
    <w:p>
      <w:pPr>
        <w:pStyle w:val="18"/>
        <w:tabs>
          <w:tab w:val="center" w:pos="4153"/>
          <w:tab w:val="left" w:pos="7275"/>
        </w:tabs>
        <w:spacing w:line="600" w:lineRule="exact"/>
        <w:ind w:firstLine="640"/>
        <w:jc w:val="left"/>
        <w:rPr>
          <w:rFonts w:ascii="Times New Roman" w:hAnsi="Times New Roman" w:eastAsia="方正仿宋_GBK"/>
          <w:sz w:val="32"/>
          <w:szCs w:val="32"/>
          <w:highlight w:val="none"/>
        </w:rPr>
      </w:pPr>
      <w:r>
        <w:rPr>
          <w:rFonts w:hint="eastAsia" w:ascii="方正楷体_GBK" w:hAnsi="Times New Roman" w:eastAsia="方正楷体_GBK"/>
          <w:sz w:val="32"/>
          <w:szCs w:val="32"/>
          <w:highlight w:val="none"/>
        </w:rPr>
        <w:t>（四）项目支出：</w:t>
      </w:r>
      <w:r>
        <w:rPr>
          <w:rFonts w:ascii="Times New Roman" w:hAnsi="Times New Roman" w:eastAsia="方正仿宋_GBK"/>
          <w:sz w:val="32"/>
          <w:szCs w:val="32"/>
          <w:highlight w:val="none"/>
        </w:rPr>
        <w:t>指在基本支出之外为完成特定行政任务和事业发展目标所发生的支出。</w:t>
      </w:r>
    </w:p>
    <w:p>
      <w:pPr>
        <w:ind w:firstLine="640" w:firstLineChars="200"/>
        <w:rPr>
          <w:rFonts w:eastAsia="方正仿宋_GBK"/>
          <w:sz w:val="32"/>
          <w:szCs w:val="32"/>
          <w:highlight w:val="none"/>
        </w:rPr>
      </w:pPr>
      <w:r>
        <w:rPr>
          <w:rFonts w:hint="eastAsia" w:ascii="方正楷体_GBK" w:eastAsia="方正楷体_GBK"/>
          <w:sz w:val="32"/>
          <w:szCs w:val="32"/>
          <w:highlight w:val="none"/>
        </w:rPr>
        <w:t>（五）“三公”经费：</w:t>
      </w:r>
      <w:r>
        <w:rPr>
          <w:rFonts w:hint="eastAsia" w:ascii="方正仿宋_GBK" w:eastAsia="方正仿宋_GBK"/>
          <w:sz w:val="32"/>
          <w:szCs w:val="32"/>
          <w:highlight w:val="none"/>
        </w:rPr>
        <w:t>指用一</w:t>
      </w:r>
      <w:r>
        <w:rPr>
          <w:rFonts w:eastAsia="方正仿宋_GBK"/>
          <w:sz w:val="32"/>
          <w:szCs w:val="32"/>
          <w:highlight w:val="none"/>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highlight w:val="none"/>
        </w:rPr>
      </w:pPr>
    </w:p>
    <w:p>
      <w:pPr>
        <w:spacing w:line="600" w:lineRule="exact"/>
        <w:rPr>
          <w:rFonts w:eastAsia="方正小标宋_GBK"/>
          <w:sz w:val="44"/>
          <w:szCs w:val="44"/>
          <w:highlight w:val="none"/>
        </w:rPr>
      </w:pPr>
    </w:p>
    <w:p>
      <w:pPr>
        <w:spacing w:line="600" w:lineRule="exact"/>
        <w:rPr>
          <w:rFonts w:eastAsia="方正小标宋_GBK"/>
          <w:sz w:val="44"/>
          <w:szCs w:val="44"/>
          <w:highlight w:val="none"/>
        </w:rPr>
      </w:pPr>
    </w:p>
    <w:p>
      <w:pPr>
        <w:spacing w:line="600" w:lineRule="exact"/>
        <w:rPr>
          <w:rFonts w:eastAsia="方正小标宋_GBK"/>
          <w:sz w:val="44"/>
          <w:szCs w:val="44"/>
          <w:highlight w:val="none"/>
        </w:rPr>
      </w:pPr>
    </w:p>
    <w:p>
      <w:pPr>
        <w:spacing w:line="600" w:lineRule="exact"/>
        <w:rPr>
          <w:rFonts w:eastAsia="方正小标宋_GBK"/>
          <w:sz w:val="44"/>
          <w:szCs w:val="44"/>
          <w:highlight w:val="none"/>
        </w:rPr>
      </w:pPr>
    </w:p>
    <w:p>
      <w:pPr>
        <w:spacing w:line="600" w:lineRule="exact"/>
        <w:rPr>
          <w:rFonts w:eastAsia="方正小标宋_GBK"/>
          <w:sz w:val="44"/>
          <w:szCs w:val="44"/>
          <w:highlight w:val="none"/>
        </w:rPr>
      </w:pPr>
    </w:p>
    <w:p>
      <w:pPr>
        <w:spacing w:line="600" w:lineRule="exact"/>
        <w:rPr>
          <w:rFonts w:eastAsia="方正小标宋_GBK"/>
          <w:sz w:val="44"/>
          <w:szCs w:val="44"/>
          <w:highlight w:val="none"/>
        </w:rPr>
      </w:pPr>
    </w:p>
    <w:p>
      <w:pPr>
        <w:spacing w:line="600" w:lineRule="exact"/>
        <w:rPr>
          <w:rFonts w:eastAsia="方正小标宋_GBK"/>
          <w:sz w:val="44"/>
          <w:szCs w:val="44"/>
          <w:highlight w:val="none"/>
        </w:rPr>
      </w:pPr>
    </w:p>
    <w:p>
      <w:pPr>
        <w:spacing w:line="600" w:lineRule="exact"/>
        <w:rPr>
          <w:rFonts w:eastAsia="方正小标宋_GBK"/>
          <w:sz w:val="44"/>
          <w:szCs w:val="44"/>
          <w:highlight w:val="none"/>
        </w:rPr>
      </w:pPr>
    </w:p>
    <w:p>
      <w:pPr>
        <w:spacing w:line="600" w:lineRule="exact"/>
        <w:rPr>
          <w:rFonts w:eastAsia="方正小标宋_GBK"/>
          <w:sz w:val="44"/>
          <w:szCs w:val="44"/>
          <w:highlight w:val="none"/>
        </w:rPr>
      </w:pPr>
    </w:p>
    <w:p>
      <w:pPr>
        <w:spacing w:line="600" w:lineRule="exact"/>
        <w:rPr>
          <w:rFonts w:eastAsia="方正小标宋_GBK"/>
          <w:sz w:val="44"/>
          <w:szCs w:val="44"/>
          <w:highlight w:val="none"/>
        </w:rPr>
      </w:pPr>
    </w:p>
    <w:p>
      <w:pPr>
        <w:spacing w:line="600" w:lineRule="exact"/>
        <w:rPr>
          <w:rFonts w:eastAsia="方正小标宋_GBK"/>
          <w:sz w:val="44"/>
          <w:szCs w:val="44"/>
          <w:highlight w:val="none"/>
        </w:rPr>
      </w:pPr>
    </w:p>
    <w:p>
      <w:pPr>
        <w:spacing w:line="600" w:lineRule="exact"/>
        <w:ind w:firstLine="880" w:firstLineChars="200"/>
        <w:rPr>
          <w:rFonts w:hint="eastAsia" w:eastAsia="方正小标宋_GBK"/>
          <w:sz w:val="44"/>
          <w:szCs w:val="44"/>
          <w:highlight w:val="none"/>
        </w:rPr>
      </w:pPr>
      <w:r>
        <w:rPr>
          <w:rFonts w:hint="eastAsia" w:eastAsia="方正小标宋_GBK"/>
          <w:sz w:val="44"/>
          <w:szCs w:val="44"/>
          <w:highlight w:val="none"/>
        </w:rPr>
        <w:t>第二部分：</w:t>
      </w:r>
      <w:r>
        <w:rPr>
          <w:rFonts w:hint="eastAsia" w:eastAsia="方正小标宋_GBK"/>
          <w:sz w:val="44"/>
          <w:szCs w:val="44"/>
          <w:highlight w:val="none"/>
          <w:lang w:val="en-US" w:eastAsia="zh-CN"/>
        </w:rPr>
        <w:t>2025</w:t>
      </w:r>
      <w:r>
        <w:rPr>
          <w:rFonts w:hint="eastAsia" w:eastAsia="方正小标宋_GBK"/>
          <w:sz w:val="44"/>
          <w:szCs w:val="44"/>
          <w:highlight w:val="none"/>
        </w:rPr>
        <w:t>年部门预算公开报表</w:t>
      </w:r>
    </w:p>
    <w:p>
      <w:pPr>
        <w:ind w:firstLine="640" w:firstLineChars="200"/>
        <w:rPr>
          <w:rFonts w:hint="eastAsia" w:eastAsia="方正黑体_GBK"/>
          <w:sz w:val="32"/>
          <w:highlight w:val="none"/>
        </w:rPr>
      </w:pPr>
    </w:p>
    <w:p>
      <w:pPr>
        <w:ind w:firstLine="640" w:firstLineChars="200"/>
        <w:rPr>
          <w:rFonts w:hint="eastAsia" w:eastAsia="方正黑体_GBK"/>
          <w:sz w:val="32"/>
          <w:highlight w:val="none"/>
        </w:rPr>
      </w:pPr>
      <w:r>
        <w:rPr>
          <w:rFonts w:hint="eastAsia" w:eastAsia="方正黑体_GBK"/>
          <w:sz w:val="32"/>
          <w:highlight w:val="none"/>
          <w:lang w:val="en-US" w:eastAsia="zh-CN"/>
        </w:rPr>
        <w:t>2025</w:t>
      </w:r>
      <w:r>
        <w:rPr>
          <w:rFonts w:hint="eastAsia" w:eastAsia="方正黑体_GBK"/>
          <w:sz w:val="32"/>
          <w:highlight w:val="none"/>
        </w:rPr>
        <w:t>年部门预算公开报表（详见附表重庆市开州区</w:t>
      </w:r>
      <w:r>
        <w:rPr>
          <w:rFonts w:hint="eastAsia" w:eastAsia="方正黑体_GBK"/>
          <w:sz w:val="32"/>
          <w:highlight w:val="none"/>
          <w:lang w:val="en-US" w:eastAsia="zh-CN"/>
        </w:rPr>
        <w:t>城市公园</w:t>
      </w:r>
      <w:r>
        <w:rPr>
          <w:rFonts w:hint="eastAsia" w:eastAsia="方正黑体_GBK"/>
          <w:sz w:val="32"/>
          <w:highlight w:val="none"/>
        </w:rPr>
        <w:t>管理中心</w:t>
      </w:r>
      <w:r>
        <w:rPr>
          <w:rFonts w:hint="eastAsia" w:eastAsia="方正黑体_GBK"/>
          <w:sz w:val="32"/>
          <w:highlight w:val="none"/>
          <w:lang w:val="en-US" w:eastAsia="zh-CN"/>
        </w:rPr>
        <w:t>2025</w:t>
      </w:r>
      <w:r>
        <w:rPr>
          <w:rFonts w:eastAsia="方正黑体_GBK"/>
          <w:sz w:val="32"/>
          <w:highlight w:val="none"/>
        </w:rPr>
        <w:t>年部门预算公开报表</w:t>
      </w:r>
      <w:r>
        <w:rPr>
          <w:rFonts w:hint="eastAsia" w:eastAsia="方正黑体_GBK"/>
          <w:sz w:val="32"/>
          <w:highlight w:val="none"/>
        </w:rPr>
        <w:t>）</w:t>
      </w:r>
    </w:p>
    <w:p>
      <w:pPr>
        <w:rPr>
          <w:rFonts w:eastAsia="方正仿宋_GBK"/>
          <w:sz w:val="32"/>
          <w:szCs w:val="32"/>
          <w:highlight w:val="none"/>
        </w:rPr>
      </w:pPr>
      <w:r>
        <w:rPr>
          <w:rFonts w:eastAsia="方正仿宋_GBK"/>
          <w:b/>
          <w:sz w:val="32"/>
          <w:highlight w:val="none"/>
        </w:rPr>
        <w:t>部门预算公开联系人：</w:t>
      </w:r>
      <w:r>
        <w:rPr>
          <w:rFonts w:hint="default" w:ascii="Times New Roman" w:hAnsi="Times New Roman" w:eastAsia="方正仿宋_GBK" w:cs="Times New Roman"/>
          <w:sz w:val="32"/>
          <w:szCs w:val="32"/>
          <w:lang w:val="en-US" w:eastAsia="zh-CN"/>
        </w:rPr>
        <w:t>田春梅</w:t>
      </w:r>
      <w:r>
        <w:rPr>
          <w:rFonts w:eastAsia="方正仿宋_GBK"/>
          <w:b/>
          <w:sz w:val="32"/>
          <w:highlight w:val="none"/>
        </w:rPr>
        <w:t xml:space="preserve">  联系方式：</w:t>
      </w:r>
      <w:r>
        <w:rPr>
          <w:rFonts w:hint="default" w:ascii="Times New Roman" w:hAnsi="Times New Roman" w:eastAsia="方正楷体_GBK" w:cs="Times New Roman"/>
          <w:b w:val="0"/>
          <w:bCs/>
          <w:sz w:val="32"/>
        </w:rPr>
        <w:t>023-</w:t>
      </w:r>
      <w:r>
        <w:rPr>
          <w:rFonts w:hint="default" w:ascii="Times New Roman" w:hAnsi="Times New Roman" w:eastAsia="方正仿宋_GBK" w:cs="Times New Roman"/>
          <w:sz w:val="32"/>
          <w:szCs w:val="32"/>
          <w:lang w:val="en-US" w:eastAsia="zh-CN"/>
        </w:rPr>
        <w:t>52669509</w:t>
      </w:r>
    </w:p>
    <w:p>
      <w:pPr>
        <w:spacing w:line="540" w:lineRule="exact"/>
        <w:jc w:val="center"/>
        <w:rPr>
          <w:rFonts w:eastAsia="方正小标宋_GBK"/>
          <w:sz w:val="44"/>
          <w:szCs w:val="44"/>
          <w:highlight w:val="none"/>
        </w:rPr>
      </w:pPr>
    </w:p>
    <w:p>
      <w:pPr>
        <w:spacing w:line="540" w:lineRule="exact"/>
        <w:jc w:val="center"/>
        <w:rPr>
          <w:rFonts w:eastAsia="方正小标宋_GBK"/>
          <w:sz w:val="44"/>
          <w:szCs w:val="44"/>
          <w:highlight w:val="none"/>
        </w:rPr>
      </w:pPr>
    </w:p>
    <w:p>
      <w:pPr>
        <w:spacing w:line="540" w:lineRule="exact"/>
        <w:jc w:val="center"/>
        <w:rPr>
          <w:rFonts w:eastAsia="方正小标宋_GBK"/>
          <w:sz w:val="44"/>
          <w:szCs w:val="44"/>
          <w:highlight w:val="none"/>
        </w:rPr>
      </w:pPr>
    </w:p>
    <w:p>
      <w:pPr>
        <w:spacing w:line="540" w:lineRule="exact"/>
        <w:jc w:val="center"/>
        <w:rPr>
          <w:rFonts w:eastAsia="方正小标宋_GBK"/>
          <w:sz w:val="44"/>
          <w:szCs w:val="44"/>
          <w:highlight w:val="none"/>
        </w:rPr>
      </w:pPr>
    </w:p>
    <w:p>
      <w:pPr>
        <w:spacing w:line="540" w:lineRule="exact"/>
        <w:jc w:val="center"/>
        <w:rPr>
          <w:rFonts w:eastAsia="方正仿宋_GBK"/>
          <w:sz w:val="32"/>
          <w:szCs w:val="32"/>
          <w:highlight w:val="none"/>
        </w:rPr>
      </w:pPr>
      <w:r>
        <w:rPr>
          <w:rFonts w:eastAsia="方正仿宋_GBK"/>
          <w:sz w:val="32"/>
          <w:szCs w:val="32"/>
          <w:highlight w:val="none"/>
        </w:rPr>
        <w:t>　</w:t>
      </w:r>
      <w:r>
        <w:rPr>
          <w:rFonts w:hint="eastAsia" w:eastAsia="方正仿宋_GBK"/>
          <w:sz w:val="32"/>
          <w:szCs w:val="32"/>
          <w:highlight w:val="none"/>
        </w:rPr>
        <w:t xml:space="preserve">                      </w:t>
      </w:r>
      <w:r>
        <w:rPr>
          <w:rFonts w:hint="eastAsia" w:eastAsia="方正仿宋_GBK"/>
          <w:sz w:val="32"/>
          <w:szCs w:val="32"/>
          <w:highlight w:val="none"/>
          <w:lang w:val="en-US" w:eastAsia="zh-CN"/>
        </w:rPr>
        <w:t xml:space="preserve">   </w:t>
      </w:r>
      <w:r>
        <w:rPr>
          <w:rFonts w:hint="eastAsia" w:eastAsia="方正仿宋_GBK"/>
          <w:sz w:val="32"/>
          <w:szCs w:val="32"/>
          <w:highlight w:val="none"/>
        </w:rPr>
        <w:t>重庆市开州区</w:t>
      </w:r>
      <w:r>
        <w:rPr>
          <w:rFonts w:hint="eastAsia" w:eastAsia="方正仿宋_GBK"/>
          <w:sz w:val="32"/>
          <w:szCs w:val="32"/>
          <w:highlight w:val="none"/>
          <w:lang w:val="en-US" w:eastAsia="zh-CN"/>
        </w:rPr>
        <w:t>城市公园</w:t>
      </w:r>
      <w:r>
        <w:rPr>
          <w:rFonts w:hint="eastAsia" w:eastAsia="方正仿宋_GBK"/>
          <w:sz w:val="32"/>
          <w:szCs w:val="32"/>
          <w:highlight w:val="none"/>
        </w:rPr>
        <w:t>管理中心</w:t>
      </w:r>
    </w:p>
    <w:p>
      <w:pPr>
        <w:spacing w:line="540" w:lineRule="exact"/>
        <w:jc w:val="center"/>
        <w:rPr>
          <w:rFonts w:eastAsia="方正仿宋_GBK"/>
          <w:color w:val="FF0000"/>
          <w:sz w:val="32"/>
          <w:szCs w:val="32"/>
          <w:highlight w:val="none"/>
        </w:rPr>
      </w:pPr>
      <w:r>
        <w:rPr>
          <w:rFonts w:eastAsia="方正仿宋_GBK"/>
          <w:sz w:val="32"/>
          <w:szCs w:val="32"/>
          <w:highlight w:val="none"/>
        </w:rPr>
        <w:t>　</w:t>
      </w:r>
      <w:r>
        <w:rPr>
          <w:rFonts w:hint="eastAsia" w:eastAsia="方正仿宋_GBK"/>
          <w:sz w:val="32"/>
          <w:szCs w:val="32"/>
          <w:highlight w:val="none"/>
        </w:rPr>
        <w:t xml:space="preserve">                        </w:t>
      </w:r>
      <w:r>
        <w:rPr>
          <w:rFonts w:hint="eastAsia" w:eastAsia="方正仿宋_GBK"/>
          <w:color w:val="auto"/>
          <w:sz w:val="32"/>
          <w:szCs w:val="32"/>
          <w:highlight w:val="none"/>
        </w:rPr>
        <w:t xml:space="preserve"> </w:t>
      </w:r>
      <w:r>
        <w:rPr>
          <w:rFonts w:eastAsia="方正仿宋_GBK"/>
          <w:color w:val="auto"/>
          <w:sz w:val="32"/>
          <w:szCs w:val="32"/>
          <w:highlight w:val="none"/>
        </w:rPr>
        <w:t>202</w:t>
      </w:r>
      <w:r>
        <w:rPr>
          <w:rFonts w:hint="eastAsia" w:eastAsia="方正仿宋_GBK"/>
          <w:color w:val="auto"/>
          <w:sz w:val="32"/>
          <w:szCs w:val="32"/>
          <w:highlight w:val="none"/>
          <w:lang w:val="en-US" w:eastAsia="zh-CN"/>
        </w:rPr>
        <w:t>5</w:t>
      </w:r>
      <w:r>
        <w:rPr>
          <w:rFonts w:eastAsia="方正仿宋_GBK"/>
          <w:color w:val="auto"/>
          <w:sz w:val="32"/>
          <w:szCs w:val="32"/>
          <w:highlight w:val="none"/>
        </w:rPr>
        <w:t>年3月</w:t>
      </w:r>
      <w:r>
        <w:rPr>
          <w:rFonts w:hint="eastAsia" w:eastAsia="方正仿宋_GBK"/>
          <w:color w:val="auto"/>
          <w:sz w:val="32"/>
          <w:szCs w:val="32"/>
          <w:highlight w:val="none"/>
          <w:lang w:val="en-US" w:eastAsia="zh-CN"/>
        </w:rPr>
        <w:t>28</w:t>
      </w:r>
      <w:r>
        <w:rPr>
          <w:rFonts w:eastAsia="方正仿宋_GBK"/>
          <w:color w:val="auto"/>
          <w:sz w:val="32"/>
          <w:szCs w:val="32"/>
          <w:highlight w:val="none"/>
        </w:rPr>
        <w:t>日</w:t>
      </w:r>
    </w:p>
    <w:p>
      <w:pPr>
        <w:spacing w:line="540" w:lineRule="exact"/>
        <w:jc w:val="center"/>
        <w:rPr>
          <w:rFonts w:eastAsia="方正仿宋_GBK"/>
          <w:sz w:val="32"/>
          <w:szCs w:val="32"/>
          <w:highlight w:val="none"/>
        </w:rPr>
      </w:pPr>
      <w:r>
        <w:rPr>
          <w:rFonts w:hint="eastAsia" w:eastAsia="方正仿宋_GBK"/>
          <w:color w:val="auto"/>
          <w:sz w:val="32"/>
          <w:szCs w:val="32"/>
          <w:highlight w:val="none"/>
          <w:lang w:val="en-US" w:eastAsia="zh-CN"/>
        </w:rPr>
        <w:t xml:space="preserve">                         </w:t>
      </w:r>
    </w:p>
    <w:p>
      <w:pPr>
        <w:spacing w:line="540" w:lineRule="exact"/>
        <w:jc w:val="center"/>
        <w:rPr>
          <w:rFonts w:hint="default" w:ascii="Times New Roman" w:hAnsi="Times New Roman" w:eastAsia="仿宋" w:cs="Times New Roman"/>
          <w:color w:val="000000"/>
          <w:sz w:val="32"/>
          <w:szCs w:val="32"/>
          <w:lang w:val="en-US" w:eastAsia="zh-CN"/>
        </w:rPr>
      </w:pPr>
      <w:r>
        <w:rPr>
          <w:rFonts w:hint="eastAsia" w:eastAsia="方正仿宋_GBK"/>
          <w:color w:val="auto"/>
          <w:sz w:val="32"/>
          <w:szCs w:val="32"/>
          <w:highlight w:val="none"/>
          <w:lang w:val="en-US" w:eastAsia="zh-CN"/>
        </w:rPr>
        <w:t xml:space="preserve">   </w:t>
      </w:r>
    </w:p>
    <w:p>
      <w:pPr>
        <w:rPr>
          <w:rFonts w:hint="default" w:ascii="Times New Roman" w:hAnsi="Times New Roman" w:eastAsia="仿宋" w:cs="Times New Roman"/>
          <w:color w:val="000000"/>
          <w:sz w:val="32"/>
          <w:szCs w:val="32"/>
          <w:lang w:val="en-US" w:eastAsia="zh-CN"/>
        </w:rPr>
      </w:pPr>
    </w:p>
    <w:p>
      <w:pPr>
        <w:rPr>
          <w:rFonts w:hint="default" w:ascii="Times New Roman" w:hAnsi="Times New Roman" w:eastAsia="仿宋" w:cs="Times New Roman"/>
          <w:color w:val="000000"/>
          <w:sz w:val="32"/>
          <w:szCs w:val="32"/>
          <w:lang w:val="en-US" w:eastAsia="zh-CN"/>
        </w:rPr>
      </w:pPr>
    </w:p>
    <w:p>
      <w:pPr>
        <w:rPr>
          <w:rFonts w:hint="default"/>
          <w:lang w:val="en-US" w:eastAsia="zh-CN"/>
        </w:rPr>
      </w:pPr>
    </w:p>
    <w:p>
      <w:pPr>
        <w:pStyle w:val="2"/>
        <w:rPr>
          <w:rFonts w:hint="default"/>
          <w:lang w:val="en-US" w:eastAsia="zh-CN"/>
        </w:rPr>
      </w:pPr>
    </w:p>
    <w:p>
      <w:pPr>
        <w:pStyle w:val="5"/>
        <w:rPr>
          <w:rFonts w:hint="default"/>
          <w:lang w:val="en-US" w:eastAsia="zh-CN"/>
        </w:rPr>
      </w:pPr>
    </w:p>
    <w:p>
      <w:pPr>
        <w:keepNext w:val="0"/>
        <w:keepLines w:val="0"/>
        <w:pageBreakBefore w:val="0"/>
        <w:widowControl w:val="0"/>
        <w:numPr>
          <w:ilvl w:val="0"/>
          <w:numId w:val="0"/>
        </w:numPr>
        <w:pBdr>
          <w:top w:val="single" w:color="auto" w:sz="4" w:space="0"/>
          <w:bottom w:val="single" w:color="auto" w:sz="4" w:space="0"/>
        </w:pBdr>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sz w:val="28"/>
          <w:szCs w:val="28"/>
          <w:highlight w:val="none"/>
          <w:lang w:val="en-US" w:eastAsia="zh-CN"/>
        </w:rPr>
      </w:pPr>
      <w:r>
        <w:rPr>
          <w:rFonts w:hint="default" w:ascii="Times New Roman" w:hAnsi="Times New Roman" w:eastAsia="方正仿宋_GBK" w:cs="Times New Roman"/>
          <w:b w:val="0"/>
          <w:bCs/>
          <w:sz w:val="28"/>
          <w:szCs w:val="28"/>
          <w:lang w:val="en-US" w:eastAsia="zh-CN"/>
        </w:rPr>
        <w:t xml:space="preserve">重庆市开州区城市公园管理中心办公室       </w:t>
      </w:r>
      <w:r>
        <w:rPr>
          <w:rFonts w:hint="default" w:ascii="Times New Roman" w:hAnsi="Times New Roman" w:eastAsia="宋体" w:cs="Times New Roman"/>
          <w:color w:val="auto"/>
          <w:kern w:val="0"/>
          <w:sz w:val="32"/>
          <w:szCs w:val="32"/>
          <w:lang w:val="en-US" w:eastAsia="zh-CN" w:bidi="ar"/>
        </w:rPr>
        <w:t xml:space="preserve"> </w:t>
      </w:r>
      <w:r>
        <w:rPr>
          <w:rFonts w:hint="default" w:ascii="Times New Roman" w:hAnsi="Times New Roman"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28"/>
          <w:szCs w:val="28"/>
          <w:highlight w:val="none"/>
          <w:lang w:val="en-US" w:eastAsia="zh-CN"/>
        </w:rPr>
        <w:t>202</w:t>
      </w:r>
      <w:r>
        <w:rPr>
          <w:rFonts w:hint="eastAsia" w:eastAsia="方正仿宋_GBK" w:cs="Times New Roman"/>
          <w:b w:val="0"/>
          <w:bCs/>
          <w:sz w:val="28"/>
          <w:szCs w:val="28"/>
          <w:highlight w:val="none"/>
          <w:lang w:val="en-US" w:eastAsia="zh-CN"/>
        </w:rPr>
        <w:t>5</w:t>
      </w:r>
      <w:r>
        <w:rPr>
          <w:rFonts w:hint="default" w:ascii="Times New Roman" w:hAnsi="Times New Roman" w:eastAsia="方正仿宋_GBK" w:cs="Times New Roman"/>
          <w:b w:val="0"/>
          <w:bCs/>
          <w:sz w:val="28"/>
          <w:szCs w:val="28"/>
          <w:highlight w:val="none"/>
          <w:lang w:val="en-US" w:eastAsia="zh-CN"/>
        </w:rPr>
        <w:t>年</w:t>
      </w:r>
      <w:r>
        <w:rPr>
          <w:rFonts w:hint="eastAsia" w:eastAsia="方正仿宋_GBK" w:cs="Times New Roman"/>
          <w:b w:val="0"/>
          <w:bCs/>
          <w:sz w:val="28"/>
          <w:szCs w:val="28"/>
          <w:highlight w:val="none"/>
          <w:lang w:val="en-US" w:eastAsia="zh-CN"/>
        </w:rPr>
        <w:t>3</w:t>
      </w:r>
      <w:r>
        <w:rPr>
          <w:rFonts w:hint="default" w:ascii="Times New Roman" w:hAnsi="Times New Roman" w:eastAsia="方正仿宋_GBK" w:cs="Times New Roman"/>
          <w:b w:val="0"/>
          <w:bCs/>
          <w:sz w:val="28"/>
          <w:szCs w:val="28"/>
          <w:highlight w:val="none"/>
          <w:lang w:val="en-US" w:eastAsia="zh-CN"/>
        </w:rPr>
        <w:t>月</w:t>
      </w:r>
      <w:r>
        <w:rPr>
          <w:rFonts w:hint="eastAsia" w:eastAsia="方正仿宋_GBK" w:cs="Times New Roman"/>
          <w:b w:val="0"/>
          <w:bCs/>
          <w:sz w:val="28"/>
          <w:szCs w:val="28"/>
          <w:highlight w:val="none"/>
          <w:lang w:val="en-US" w:eastAsia="zh-CN"/>
        </w:rPr>
        <w:t>28</w:t>
      </w:r>
      <w:r>
        <w:rPr>
          <w:rFonts w:hint="default" w:ascii="Times New Roman" w:hAnsi="Times New Roman" w:eastAsia="方正仿宋_GBK" w:cs="Times New Roman"/>
          <w:b w:val="0"/>
          <w:bCs/>
          <w:sz w:val="28"/>
          <w:szCs w:val="28"/>
          <w:highlight w:val="none"/>
          <w:lang w:val="en-US" w:eastAsia="zh-CN"/>
        </w:rPr>
        <w:t>日印发</w:t>
      </w:r>
    </w:p>
    <w:sectPr>
      <w:footerReference r:id="rId3" w:type="default"/>
      <w:footerReference r:id="rId4" w:type="even"/>
      <w:type w:val="oddPage"/>
      <w:pgSz w:w="11906" w:h="16838"/>
      <w:pgMar w:top="2098" w:right="1587" w:bottom="1984"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0" w:usb1="00000000" w:usb2="00000000" w:usb3="00000000" w:csb0="00000000"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0" w:usb1="00000000" w:usb2="00000000" w:usb3="00000000" w:csb0="00000000" w:csb1="00000000"/>
  </w:font>
  <w:font w:name="方正黑体_GBK">
    <w:panose1 w:val="03000509000000000000"/>
    <w:charset w:val="86"/>
    <w:family w:val="script"/>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NzBkYmM4NjdlZjcyOGE4OGZiNjE0OGZlMWY3MGYifQ=="/>
  </w:docVars>
  <w:rsids>
    <w:rsidRoot w:val="76DC39A3"/>
    <w:rsid w:val="01B57B4D"/>
    <w:rsid w:val="029A12D4"/>
    <w:rsid w:val="03CD7ADE"/>
    <w:rsid w:val="047164DE"/>
    <w:rsid w:val="0548378C"/>
    <w:rsid w:val="06223947"/>
    <w:rsid w:val="078B25A3"/>
    <w:rsid w:val="087024E1"/>
    <w:rsid w:val="08AC1732"/>
    <w:rsid w:val="08F7638C"/>
    <w:rsid w:val="0BEE26F4"/>
    <w:rsid w:val="0CA37E0B"/>
    <w:rsid w:val="0DDE4231"/>
    <w:rsid w:val="11433DFA"/>
    <w:rsid w:val="114A2B1E"/>
    <w:rsid w:val="128B2501"/>
    <w:rsid w:val="130222DF"/>
    <w:rsid w:val="18CD24D7"/>
    <w:rsid w:val="195E07CF"/>
    <w:rsid w:val="1D4204DE"/>
    <w:rsid w:val="1F3A4035"/>
    <w:rsid w:val="20BC75B4"/>
    <w:rsid w:val="21491539"/>
    <w:rsid w:val="21FF1FE4"/>
    <w:rsid w:val="232E5C5F"/>
    <w:rsid w:val="23BA703A"/>
    <w:rsid w:val="27286794"/>
    <w:rsid w:val="294D4486"/>
    <w:rsid w:val="29EA4673"/>
    <w:rsid w:val="2B605EE2"/>
    <w:rsid w:val="2BBF2CED"/>
    <w:rsid w:val="2E922324"/>
    <w:rsid w:val="30C456A0"/>
    <w:rsid w:val="31BF36CD"/>
    <w:rsid w:val="32FF0E0B"/>
    <w:rsid w:val="343D6EF5"/>
    <w:rsid w:val="372124AB"/>
    <w:rsid w:val="3A242E4B"/>
    <w:rsid w:val="3B996C03"/>
    <w:rsid w:val="3BE73545"/>
    <w:rsid w:val="3CD85C21"/>
    <w:rsid w:val="3EE83498"/>
    <w:rsid w:val="3F7171A7"/>
    <w:rsid w:val="3FE41DDE"/>
    <w:rsid w:val="423D1A16"/>
    <w:rsid w:val="428A4DC8"/>
    <w:rsid w:val="429C09DF"/>
    <w:rsid w:val="4740402F"/>
    <w:rsid w:val="485E21C5"/>
    <w:rsid w:val="4BD5008A"/>
    <w:rsid w:val="4D1F167F"/>
    <w:rsid w:val="4D8A5386"/>
    <w:rsid w:val="4DC74E07"/>
    <w:rsid w:val="4E23141A"/>
    <w:rsid w:val="4E7B1846"/>
    <w:rsid w:val="52EB2ACA"/>
    <w:rsid w:val="52F67739"/>
    <w:rsid w:val="54E27615"/>
    <w:rsid w:val="559F4616"/>
    <w:rsid w:val="55AB4582"/>
    <w:rsid w:val="55B84D84"/>
    <w:rsid w:val="5C154391"/>
    <w:rsid w:val="5D0B568A"/>
    <w:rsid w:val="5DA06B9F"/>
    <w:rsid w:val="5F5B05C8"/>
    <w:rsid w:val="5F6A2DC0"/>
    <w:rsid w:val="60DB52AF"/>
    <w:rsid w:val="611F7DE8"/>
    <w:rsid w:val="617A1A94"/>
    <w:rsid w:val="620B5B98"/>
    <w:rsid w:val="62361E5F"/>
    <w:rsid w:val="623B265B"/>
    <w:rsid w:val="6453511D"/>
    <w:rsid w:val="64647400"/>
    <w:rsid w:val="694427FC"/>
    <w:rsid w:val="69E10213"/>
    <w:rsid w:val="6FDF31C2"/>
    <w:rsid w:val="742C6ABF"/>
    <w:rsid w:val="74C6010C"/>
    <w:rsid w:val="75A81EF5"/>
    <w:rsid w:val="762F7903"/>
    <w:rsid w:val="76315758"/>
    <w:rsid w:val="763957E7"/>
    <w:rsid w:val="76DC39A3"/>
    <w:rsid w:val="77EC4836"/>
    <w:rsid w:val="78461CB8"/>
    <w:rsid w:val="7879358D"/>
    <w:rsid w:val="78BB62D2"/>
    <w:rsid w:val="793757CD"/>
    <w:rsid w:val="7A6B4071"/>
    <w:rsid w:val="7A9148B2"/>
    <w:rsid w:val="7B6906F7"/>
    <w:rsid w:val="7FDD1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spacing w:beforeAutospacing="1" w:afterAutospacing="1"/>
      <w:jc w:val="left"/>
      <w:outlineLvl w:val="0"/>
    </w:pPr>
    <w:rPr>
      <w:rFonts w:ascii="Calibri" w:hAnsi="Calibri"/>
      <w:b/>
      <w:bCs/>
      <w:kern w:val="44"/>
      <w:sz w:val="44"/>
      <w:szCs w:val="44"/>
    </w:rPr>
  </w:style>
  <w:style w:type="paragraph" w:styleId="3">
    <w:name w:val="heading 2"/>
    <w:basedOn w:val="1"/>
    <w:next w:val="1"/>
    <w:unhideWhenUsed/>
    <w:qFormat/>
    <w:uiPriority w:val="0"/>
    <w:pPr>
      <w:keepNext w:val="0"/>
      <w:keepLines w:val="0"/>
      <w:spacing w:beforeLines="0" w:beforeAutospacing="0" w:afterLines="0" w:afterAutospacing="0" w:line="600" w:lineRule="exact"/>
      <w:ind w:left="0" w:firstLine="880" w:firstLineChars="200"/>
      <w:outlineLvl w:val="1"/>
    </w:pPr>
    <w:rPr>
      <w:rFonts w:ascii="Arial" w:hAnsi="Arial" w:eastAsia="方正楷体_GBK"/>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style>
  <w:style w:type="paragraph" w:styleId="6">
    <w:name w:val="Body Text Indent"/>
    <w:basedOn w:val="1"/>
    <w:qFormat/>
    <w:uiPriority w:val="0"/>
    <w:pPr>
      <w:ind w:firstLine="640" w:firstLineChars="200"/>
    </w:pPr>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样式1"/>
    <w:basedOn w:val="1"/>
    <w:qFormat/>
    <w:uiPriority w:val="0"/>
    <w:pPr>
      <w:ind w:firstLine="200" w:firstLineChars="200"/>
    </w:pPr>
    <w:rPr>
      <w:rFonts w:eastAsia="仿宋_GB2312"/>
      <w:sz w:val="32"/>
    </w:rPr>
  </w:style>
  <w:style w:type="paragraph" w:customStyle="1" w:styleId="13">
    <w:name w:val="_Style 2"/>
    <w:basedOn w:val="1"/>
    <w:qFormat/>
    <w:uiPriority w:val="34"/>
    <w:pPr>
      <w:ind w:firstLine="420" w:firstLineChars="200"/>
    </w:pPr>
  </w:style>
  <w:style w:type="paragraph" w:customStyle="1" w:styleId="1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p0"/>
    <w:basedOn w:val="1"/>
    <w:qFormat/>
    <w:uiPriority w:val="0"/>
    <w:pPr>
      <w:widowControl/>
    </w:pPr>
    <w:rPr>
      <w:kern w:val="0"/>
      <w:szCs w:val="21"/>
    </w:rPr>
  </w:style>
  <w:style w:type="character" w:customStyle="1" w:styleId="16">
    <w:name w:val="font21"/>
    <w:basedOn w:val="11"/>
    <w:qFormat/>
    <w:uiPriority w:val="0"/>
    <w:rPr>
      <w:rFonts w:hint="eastAsia" w:ascii="宋体" w:hAnsi="宋体" w:eastAsia="宋体" w:cs="宋体"/>
      <w:color w:val="000000"/>
      <w:sz w:val="24"/>
      <w:szCs w:val="24"/>
      <w:u w:val="none"/>
    </w:rPr>
  </w:style>
  <w:style w:type="character" w:customStyle="1" w:styleId="17">
    <w:name w:val="font01"/>
    <w:basedOn w:val="11"/>
    <w:qFormat/>
    <w:uiPriority w:val="0"/>
    <w:rPr>
      <w:rFonts w:hint="default" w:ascii="Times New Roman" w:hAnsi="Times New Roman" w:cs="Times New Roman"/>
      <w:color w:val="000000"/>
      <w:sz w:val="24"/>
      <w:szCs w:val="24"/>
      <w:u w:val="none"/>
      <w:vertAlign w:val="superscript"/>
    </w:rPr>
  </w:style>
  <w:style w:type="paragraph" w:styleId="1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2129</Words>
  <Characters>2336</Characters>
  <Lines>0</Lines>
  <Paragraphs>0</Paragraphs>
  <TotalTime>2</TotalTime>
  <ScaleCrop>false</ScaleCrop>
  <LinksUpToDate>false</LinksUpToDate>
  <CharactersWithSpaces>2493</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2021-09-27T07:51:00Z</dcterms:created>
  <dc:creator>浅浅浅之蓝</dc:creator>
  <cp:lastModifiedBy>002</cp:lastModifiedBy>
  <cp:lastPrinted>2025-03-18T06:44:25Z</cp:lastPrinted>
  <dcterms:modified xsi:type="dcterms:W3CDTF">2025-03-18T06:44:27Z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8974419C7E504229A1363B0952845EDB</vt:lpwstr>
  </property>
  <property fmtid="{D5CDD505-2E9C-101B-9397-08002B2CF9AE}" pid="4" name="KSOTemplateDocerSaveRecord">
    <vt:lpwstr>eyJoZGlkIjoiNTM4MWVjMTI5Y2M2NjNhYmZiYTNmNTZlZmRhNTM0ZTMiLCJ1c2VySWQiOiIzMDE3NjUxODgifQ==</vt:lpwstr>
  </property>
</Properties>
</file>