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6083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14:paraId="27E5569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14:paraId="0CAC0DD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14:paraId="0B4519A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14:paraId="0BCA4CC7">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_GBK" w:cs="Times New Roman"/>
          <w:sz w:val="44"/>
          <w:szCs w:val="44"/>
          <w:lang w:val="en-US" w:eastAsia="zh-CN"/>
        </w:rPr>
      </w:pPr>
    </w:p>
    <w:p w14:paraId="490A7C0D">
      <w:pPr>
        <w:keepNext w:val="0"/>
        <w:keepLines w:val="0"/>
        <w:pageBreakBefore w:val="0"/>
        <w:widowControl w:val="0"/>
        <w:kinsoku/>
        <w:wordWrap/>
        <w:overflowPunct/>
        <w:topLinePunct w:val="0"/>
        <w:autoSpaceDE/>
        <w:autoSpaceDN/>
        <w:bidi w:val="0"/>
        <w:adjustRightInd/>
        <w:snapToGrid/>
        <w:spacing w:line="594" w:lineRule="atLeast"/>
        <w:textAlignment w:val="auto"/>
        <w:rPr>
          <w:rFonts w:hint="default" w:ascii="Times New Roman" w:hAnsi="Times New Roman" w:eastAsia="方正黑体_GBK" w:cs="Times New Roman"/>
          <w:b/>
          <w:sz w:val="32"/>
          <w:szCs w:val="32"/>
        </w:rPr>
      </w:pPr>
    </w:p>
    <w:p w14:paraId="73926BCB">
      <w:pPr>
        <w:keepNext w:val="0"/>
        <w:keepLines w:val="0"/>
        <w:pageBreakBefore w:val="0"/>
        <w:widowControl w:val="0"/>
        <w:kinsoku/>
        <w:wordWrap/>
        <w:overflowPunct/>
        <w:topLinePunct w:val="0"/>
        <w:autoSpaceDE/>
        <w:autoSpaceDN/>
        <w:bidi w:val="0"/>
        <w:adjustRightInd/>
        <w:snapToGrid/>
        <w:spacing w:line="594" w:lineRule="atLeast"/>
        <w:textAlignment w:val="auto"/>
        <w:rPr>
          <w:rFonts w:hint="default" w:ascii="Times New Roman" w:hAnsi="Times New Roman" w:eastAsia="方正黑体_GBK" w:cs="Times New Roman"/>
          <w:b/>
          <w:sz w:val="32"/>
          <w:szCs w:val="32"/>
        </w:rPr>
      </w:pPr>
      <w:r>
        <w:rPr>
          <w:rFonts w:hint="default" w:ascii="Times New Roman" w:hAnsi="Times New Roman" w:cs="Times New Roman"/>
          <w:sz w:val="32"/>
          <w:szCs w:val="32"/>
        </w:rPr>
        <w:pict>
          <v:shape id="_x0000_s1026" o:spid="_x0000_s1026" o:spt="136" alt="重庆市开州区厚坝镇人民政府" type="#_x0000_t136" style="position:absolute;left:0pt;margin-left:8.5pt;margin-top:10.2pt;height:53.85pt;width:425.2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开州区环境卫生管理中心文件" style="font-family:方正小标宋_GBK;font-size:20pt;v-rotate-letters:f;v-same-letter-heights:f;v-text-align:center;"/>
          </v:shape>
        </w:pict>
      </w:r>
    </w:p>
    <w:p w14:paraId="58691317">
      <w:pPr>
        <w:keepNext w:val="0"/>
        <w:keepLines w:val="0"/>
        <w:pageBreakBefore w:val="0"/>
        <w:widowControl w:val="0"/>
        <w:kinsoku/>
        <w:wordWrap/>
        <w:overflowPunct/>
        <w:topLinePunct w:val="0"/>
        <w:autoSpaceDE/>
        <w:autoSpaceDN/>
        <w:bidi w:val="0"/>
        <w:adjustRightInd/>
        <w:snapToGrid/>
        <w:spacing w:line="594" w:lineRule="atLeas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3CE51E5C">
      <w:pPr>
        <w:keepNext w:val="0"/>
        <w:keepLines w:val="0"/>
        <w:pageBreakBefore w:val="0"/>
        <w:widowControl w:val="0"/>
        <w:kinsoku/>
        <w:wordWrap/>
        <w:overflowPunct/>
        <w:topLinePunct w:val="0"/>
        <w:autoSpaceDE/>
        <w:autoSpaceDN/>
        <w:bidi w:val="0"/>
        <w:adjustRightInd/>
        <w:snapToGrid/>
        <w:spacing w:line="594" w:lineRule="atLeast"/>
        <w:textAlignment w:val="auto"/>
        <w:rPr>
          <w:rFonts w:hint="default" w:ascii="Times New Roman" w:hAnsi="Times New Roman" w:eastAsia="仿宋_GB2312" w:cs="Times New Roman"/>
          <w:sz w:val="32"/>
          <w:szCs w:val="32"/>
        </w:rPr>
      </w:pPr>
    </w:p>
    <w:p w14:paraId="422F0041">
      <w:pPr>
        <w:keepNext w:val="0"/>
        <w:keepLines w:val="0"/>
        <w:pageBreakBefore w:val="0"/>
        <w:widowControl w:val="0"/>
        <w:kinsoku/>
        <w:wordWrap/>
        <w:overflowPunct/>
        <w:topLinePunct w:val="0"/>
        <w:autoSpaceDE/>
        <w:autoSpaceDN/>
        <w:bidi w:val="0"/>
        <w:adjustRightInd/>
        <w:snapToGrid/>
        <w:spacing w:line="594" w:lineRule="atLeast"/>
        <w:ind w:firstLine="320" w:firstLineChars="100"/>
        <w:jc w:val="left"/>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开</w:t>
      </w:r>
      <w:r>
        <w:rPr>
          <w:rFonts w:hint="default" w:ascii="Times New Roman" w:hAnsi="Times New Roman" w:eastAsia="方正仿宋_GBK" w:cs="Times New Roman"/>
          <w:sz w:val="32"/>
          <w:szCs w:val="32"/>
          <w:lang w:eastAsia="zh-CN"/>
        </w:rPr>
        <w:t>州</w:t>
      </w:r>
      <w:r>
        <w:rPr>
          <w:rFonts w:hint="default" w:ascii="Times New Roman" w:hAnsi="Times New Roman" w:eastAsia="方正仿宋_GBK" w:cs="Times New Roman"/>
          <w:sz w:val="32"/>
          <w:szCs w:val="32"/>
        </w:rPr>
        <w:t>环卫</w:t>
      </w:r>
      <w:r>
        <w:rPr>
          <w:rFonts w:hint="default" w:ascii="Times New Roman" w:hAnsi="Times New Roman" w:eastAsia="方正仿宋_GBK" w:cs="Times New Roman"/>
          <w:sz w:val="32"/>
          <w:szCs w:val="32"/>
          <w:lang w:eastAsia="zh-CN"/>
        </w:rPr>
        <w:t>文</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 xml:space="preserve">              签发人：</w:t>
      </w:r>
      <w:r>
        <w:rPr>
          <w:rFonts w:hint="default" w:ascii="Times New Roman" w:hAnsi="Times New Roman" w:eastAsia="方正楷体_GBK" w:cs="Times New Roman"/>
          <w:sz w:val="32"/>
          <w:szCs w:val="32"/>
          <w:lang w:val="en-US" w:eastAsia="zh-CN"/>
        </w:rPr>
        <w:t>邹泽军</w:t>
      </w:r>
    </w:p>
    <w:p w14:paraId="728B89E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方正小标宋_GBK" w:cs="Times New Roman"/>
          <w:sz w:val="44"/>
          <w:szCs w:val="44"/>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0"/>
                <wp:effectExtent l="0" t="19050" r="3810" b="1905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pt;height:0pt;width:442.2pt;z-index:251660288;mso-width-relative:page;mso-height-relative:page;" filled="f" stroked="t" coordsize="21600,21600" o:gfxdata="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TjbG9cAAAAGAQAADwAAAAAAAAABACAAAAAiAAAAZHJzL2Rvd25yZXYu&#10;eG1sUEsBAhQAFAAAAAgAh07iQIDUTMj8AQAA8wMAAA4AAAAAAAAAAQAgAAAAJgEAAGRycy9lMm9E&#10;b2MueG1sUEsFBgAAAAAGAAYAWQEAAJQFAAAAAA==&#10;">
                <v:fill on="f" focussize="0,0"/>
                <v:stroke weight="3pt" color="#FF0000" joinstyle="round"/>
                <v:imagedata o:title=""/>
                <o:lock v:ext="edit" aspectratio="f"/>
              </v:line>
            </w:pict>
          </mc:Fallback>
        </mc:AlternateContent>
      </w:r>
    </w:p>
    <w:p w14:paraId="5D2BC464">
      <w:pPr>
        <w:pStyle w:val="6"/>
        <w:spacing w:line="620" w:lineRule="exact"/>
        <w:ind w:firstLine="0" w:firstLineChars="0"/>
        <w:jc w:val="center"/>
        <w:rPr>
          <w:rFonts w:hint="default" w:ascii="Times New Roman" w:hAnsi="Times New Roman" w:eastAsia="方正小标宋_GBK" w:cs="Times New Roman"/>
          <w:szCs w:val="32"/>
          <w:highlight w:val="none"/>
        </w:rPr>
      </w:pPr>
      <w:r>
        <w:rPr>
          <w:rFonts w:hint="default" w:ascii="Times New Roman" w:hAnsi="Times New Roman" w:eastAsia="方正小标宋_GBK" w:cs="Times New Roman"/>
          <w:color w:val="000000"/>
          <w:sz w:val="44"/>
          <w:szCs w:val="44"/>
          <w:highlight w:val="none"/>
        </w:rPr>
        <w:t>重庆市开州区</w:t>
      </w:r>
      <w:r>
        <w:rPr>
          <w:rFonts w:hint="default" w:ascii="Times New Roman" w:hAnsi="Times New Roman" w:eastAsia="方正小标宋_GBK" w:cs="Times New Roman"/>
          <w:spacing w:val="-20"/>
          <w:kern w:val="2"/>
          <w:sz w:val="44"/>
          <w:szCs w:val="44"/>
          <w:lang w:val="en-US" w:eastAsia="zh-CN" w:bidi="ar-SA"/>
        </w:rPr>
        <w:t>环境卫生管理中心</w:t>
      </w:r>
    </w:p>
    <w:p w14:paraId="23DFBC85">
      <w:pPr>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关于</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年部门预算情况公开的公告</w:t>
      </w:r>
    </w:p>
    <w:p w14:paraId="3B016E7E">
      <w:pPr>
        <w:jc w:val="center"/>
        <w:rPr>
          <w:rFonts w:hint="default" w:ascii="Times New Roman" w:hAnsi="Times New Roman" w:eastAsia="方正小标宋_GBK" w:cs="Times New Roman"/>
          <w:sz w:val="44"/>
          <w:szCs w:val="44"/>
          <w:highlight w:val="none"/>
        </w:rPr>
      </w:pPr>
    </w:p>
    <w:p w14:paraId="25A271C5">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按照有关财政预算公开的部署和要求，依据《中华人民共和国政府信息公开条例》（国务院令第492号）和重庆市开州区财政局《关于批复</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年部门预算的通知》</w:t>
      </w:r>
      <w:r>
        <w:rPr>
          <w:rFonts w:hint="default" w:ascii="Times New Roman" w:hAnsi="Times New Roman" w:eastAsia="方正仿宋_GBK" w:cs="Times New Roman"/>
          <w:color w:val="auto"/>
          <w:sz w:val="32"/>
          <w:szCs w:val="32"/>
          <w:highlight w:val="none"/>
        </w:rPr>
        <w:t>（开州财建发〔2025〕20号）</w:t>
      </w:r>
      <w:r>
        <w:rPr>
          <w:rFonts w:hint="default" w:ascii="Times New Roman" w:hAnsi="Times New Roman" w:eastAsia="方正仿宋_GBK" w:cs="Times New Roman"/>
          <w:sz w:val="32"/>
          <w:szCs w:val="32"/>
          <w:highlight w:val="none"/>
        </w:rPr>
        <w:t>,现将重庆市开州区环境卫生管理中心</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年部门预算批复情况公开如下：</w:t>
      </w:r>
    </w:p>
    <w:p w14:paraId="4582A2DC">
      <w:pPr>
        <w:jc w:val="center"/>
        <w:rPr>
          <w:rFonts w:hint="default" w:ascii="Times New Roman" w:hAnsi="Times New Roman" w:eastAsia="方正黑体_GBK" w:cs="Times New Roman"/>
          <w:sz w:val="32"/>
          <w:szCs w:val="32"/>
          <w:highlight w:val="none"/>
        </w:rPr>
      </w:pPr>
    </w:p>
    <w:p w14:paraId="62AD16D6">
      <w:pPr>
        <w:jc w:val="center"/>
        <w:rPr>
          <w:rFonts w:hint="default" w:ascii="Times New Roman" w:hAnsi="Times New Roman" w:eastAsia="方正黑体_GBK" w:cs="Times New Roman"/>
          <w:sz w:val="32"/>
          <w:szCs w:val="32"/>
          <w:highlight w:val="none"/>
        </w:rPr>
      </w:pPr>
    </w:p>
    <w:p w14:paraId="52C543AB">
      <w:pPr>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目    录</w:t>
      </w:r>
    </w:p>
    <w:p w14:paraId="4195F2A9">
      <w:pPr>
        <w:rPr>
          <w:rFonts w:hint="default" w:ascii="Times New Roman" w:hAnsi="Times New Roman" w:cs="Times New Roman"/>
          <w:highlight w:val="none"/>
        </w:rPr>
      </w:pPr>
    </w:p>
    <w:p w14:paraId="2B0B9F21">
      <w:pPr>
        <w:jc w:val="center"/>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第一部分：</w:t>
      </w:r>
      <w:r>
        <w:rPr>
          <w:rFonts w:hint="default" w:ascii="Times New Roman" w:hAnsi="Times New Roman" w:eastAsia="方正楷体_GBK" w:cs="Times New Roman"/>
          <w:sz w:val="32"/>
          <w:szCs w:val="32"/>
          <w:highlight w:val="none"/>
          <w:lang w:val="en-US" w:eastAsia="zh-CN"/>
        </w:rPr>
        <w:t>2025</w:t>
      </w:r>
      <w:r>
        <w:rPr>
          <w:rFonts w:hint="default" w:ascii="Times New Roman" w:hAnsi="Times New Roman" w:eastAsia="方正楷体_GBK" w:cs="Times New Roman"/>
          <w:sz w:val="32"/>
          <w:szCs w:val="32"/>
          <w:highlight w:val="none"/>
        </w:rPr>
        <w:t>年部门预算情况说明</w:t>
      </w:r>
    </w:p>
    <w:p w14:paraId="2D6C2957">
      <w:pPr>
        <w:rPr>
          <w:rFonts w:hint="default" w:ascii="Times New Roman" w:hAnsi="Times New Roman" w:cs="Times New Roman"/>
          <w:highlight w:val="none"/>
        </w:rPr>
      </w:pPr>
    </w:p>
    <w:p w14:paraId="6E2936F9">
      <w:pPr>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一、单位基本情况</w:t>
      </w:r>
    </w:p>
    <w:p w14:paraId="779D5072">
      <w:pPr>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二、部门收支总体情况</w:t>
      </w:r>
    </w:p>
    <w:p w14:paraId="76F04949">
      <w:pPr>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三、部门预算情况说明</w:t>
      </w:r>
    </w:p>
    <w:p w14:paraId="769FC1F7">
      <w:pPr>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四、“三公”经费情况说明</w:t>
      </w:r>
    </w:p>
    <w:p w14:paraId="787666E6">
      <w:pPr>
        <w:spacing w:line="600" w:lineRule="exac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五、其他重要事项的情况说明</w:t>
      </w:r>
    </w:p>
    <w:p w14:paraId="42A05F1C">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六、专业性名词解释</w:t>
      </w:r>
    </w:p>
    <w:p w14:paraId="24DFF6D7">
      <w:pPr>
        <w:rPr>
          <w:rFonts w:hint="default" w:ascii="Times New Roman" w:hAnsi="Times New Roman" w:eastAsia="方正仿宋_GBK" w:cs="Times New Roman"/>
          <w:sz w:val="32"/>
          <w:szCs w:val="32"/>
          <w:highlight w:val="none"/>
        </w:rPr>
      </w:pPr>
    </w:p>
    <w:p w14:paraId="4856808C">
      <w:pPr>
        <w:jc w:val="center"/>
        <w:rPr>
          <w:rFonts w:hint="default" w:ascii="Times New Roman" w:hAnsi="Times New Roman" w:cs="Times New Roman"/>
          <w:highlight w:val="none"/>
        </w:rPr>
      </w:pPr>
      <w:r>
        <w:rPr>
          <w:rFonts w:hint="default" w:ascii="Times New Roman" w:hAnsi="Times New Roman" w:eastAsia="方正楷体_GBK" w:cs="Times New Roman"/>
          <w:sz w:val="32"/>
          <w:szCs w:val="32"/>
          <w:highlight w:val="none"/>
        </w:rPr>
        <w:t>第二部分：</w:t>
      </w:r>
      <w:r>
        <w:rPr>
          <w:rFonts w:hint="default" w:ascii="Times New Roman" w:hAnsi="Times New Roman" w:eastAsia="方正楷体_GBK" w:cs="Times New Roman"/>
          <w:sz w:val="32"/>
          <w:szCs w:val="32"/>
          <w:highlight w:val="none"/>
          <w:lang w:val="en-US" w:eastAsia="zh-CN"/>
        </w:rPr>
        <w:t>2025</w:t>
      </w:r>
      <w:r>
        <w:rPr>
          <w:rFonts w:hint="default" w:ascii="Times New Roman" w:hAnsi="Times New Roman" w:eastAsia="方正楷体_GBK" w:cs="Times New Roman"/>
          <w:sz w:val="32"/>
          <w:szCs w:val="32"/>
          <w:highlight w:val="none"/>
        </w:rPr>
        <w:t>年部门预算公开报表</w:t>
      </w:r>
    </w:p>
    <w:p w14:paraId="4D079BD9">
      <w:pPr>
        <w:rPr>
          <w:rFonts w:hint="default" w:ascii="Times New Roman" w:hAnsi="Times New Roman" w:cs="Times New Roman"/>
          <w:highlight w:val="none"/>
        </w:rPr>
      </w:pPr>
    </w:p>
    <w:p w14:paraId="3AB3BBAD">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表1、重庆市开州区环境卫生管理中心收支预算总表</w:t>
      </w:r>
    </w:p>
    <w:p w14:paraId="4C0564DA">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表2、重庆市开州区环境卫生管理中心收入总表</w:t>
      </w:r>
    </w:p>
    <w:p w14:paraId="06855B3B">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表3、重庆市开州区环境卫生管理中心本年支出预算总表</w:t>
      </w:r>
    </w:p>
    <w:p w14:paraId="3507727A">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表4、重庆市开州区环境卫生管理中心财政拨款收支预算总表</w:t>
      </w:r>
    </w:p>
    <w:p w14:paraId="52638526">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表5、重庆市开州区环境卫生管理中心本年一般公共预算支出预算表</w:t>
      </w:r>
    </w:p>
    <w:p w14:paraId="4C03D21D">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表6、重庆市开州区环境卫生管理中心一般公共预算基本支出预算表</w:t>
      </w:r>
    </w:p>
    <w:p w14:paraId="4D83B5F8">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表7、重庆市开州区环境卫生管理中心一般公共预算“三公”经费支出预算表</w:t>
      </w:r>
    </w:p>
    <w:p w14:paraId="40F30773">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表8、重庆市开州区环境卫生管理中心政府性基金预算支出预算表</w:t>
      </w:r>
    </w:p>
    <w:p w14:paraId="60FF5686">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表9、重庆市开州区环境卫生管理中心国有资本经营预算支出预算表</w:t>
      </w:r>
    </w:p>
    <w:p w14:paraId="545EB16E">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表10、重庆市开州区环境卫生管理中心项目支出表</w:t>
      </w:r>
    </w:p>
    <w:p w14:paraId="523F3723">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表11、202</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年重庆市开州区环境卫生管理中心项目绩效目标表</w:t>
      </w:r>
    </w:p>
    <w:p w14:paraId="4FE61B06">
      <w:pPr>
        <w:rPr>
          <w:rFonts w:hint="default" w:ascii="Times New Roman" w:hAnsi="Times New Roman" w:cs="Times New Roman"/>
          <w:highlight w:val="none"/>
        </w:rPr>
      </w:pPr>
    </w:p>
    <w:p w14:paraId="603B8561">
      <w:pPr>
        <w:rPr>
          <w:rFonts w:hint="default" w:ascii="Times New Roman" w:hAnsi="Times New Roman" w:cs="Times New Roman"/>
          <w:highlight w:val="none"/>
        </w:rPr>
      </w:pPr>
    </w:p>
    <w:p w14:paraId="4F50AAB8">
      <w:pPr>
        <w:rPr>
          <w:rFonts w:hint="default" w:ascii="Times New Roman" w:hAnsi="Times New Roman" w:cs="Times New Roman"/>
          <w:highlight w:val="none"/>
        </w:rPr>
      </w:pPr>
    </w:p>
    <w:p w14:paraId="259B1549">
      <w:pPr>
        <w:rPr>
          <w:rFonts w:hint="default" w:ascii="Times New Roman" w:hAnsi="Times New Roman" w:cs="Times New Roman"/>
          <w:highlight w:val="none"/>
        </w:rPr>
      </w:pPr>
    </w:p>
    <w:p w14:paraId="1E9D8EF3">
      <w:pPr>
        <w:rPr>
          <w:rFonts w:hint="default" w:ascii="Times New Roman" w:hAnsi="Times New Roman" w:cs="Times New Roman"/>
          <w:highlight w:val="none"/>
        </w:rPr>
      </w:pPr>
    </w:p>
    <w:p w14:paraId="682EA5F6">
      <w:pPr>
        <w:rPr>
          <w:rFonts w:hint="default" w:ascii="Times New Roman" w:hAnsi="Times New Roman" w:cs="Times New Roman"/>
          <w:highlight w:val="none"/>
        </w:rPr>
      </w:pPr>
    </w:p>
    <w:p w14:paraId="5E5CDDFA">
      <w:pPr>
        <w:spacing w:line="60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br w:type="page"/>
      </w:r>
      <w:r>
        <w:rPr>
          <w:rFonts w:hint="default" w:ascii="Times New Roman" w:hAnsi="Times New Roman" w:eastAsia="方正小标宋_GBK" w:cs="Times New Roman"/>
          <w:sz w:val="44"/>
          <w:szCs w:val="44"/>
          <w:highlight w:val="none"/>
        </w:rPr>
        <w:t>第一部分：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年部门预算情况说明</w:t>
      </w:r>
    </w:p>
    <w:p w14:paraId="1BF44907">
      <w:pPr>
        <w:spacing w:line="600" w:lineRule="exact"/>
        <w:ind w:firstLine="880" w:firstLineChars="200"/>
        <w:jc w:val="center"/>
        <w:rPr>
          <w:rFonts w:hint="default" w:ascii="Times New Roman" w:hAnsi="Times New Roman" w:eastAsia="华文中宋" w:cs="Times New Roman"/>
          <w:sz w:val="44"/>
          <w:szCs w:val="44"/>
          <w:highlight w:val="none"/>
        </w:rPr>
      </w:pPr>
    </w:p>
    <w:p w14:paraId="129A182F">
      <w:pPr>
        <w:spacing w:line="600" w:lineRule="exact"/>
        <w:ind w:left="640"/>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一、单位基本情况</w:t>
      </w:r>
    </w:p>
    <w:p w14:paraId="29F36F9D">
      <w:pPr>
        <w:spacing w:line="600" w:lineRule="exact"/>
        <w:ind w:firstLine="640" w:firstLineChars="200"/>
        <w:rPr>
          <w:rFonts w:hint="default" w:ascii="Times New Roman" w:hAnsi="Times New Roman" w:eastAsia="方正楷体_GBK" w:cs="Times New Roman"/>
          <w:sz w:val="32"/>
          <w:highlight w:val="none"/>
        </w:rPr>
      </w:pPr>
      <w:r>
        <w:rPr>
          <w:rFonts w:hint="default" w:ascii="Times New Roman" w:hAnsi="Times New Roman" w:eastAsia="方正楷体_GBK" w:cs="Times New Roman"/>
          <w:sz w:val="32"/>
          <w:highlight w:val="none"/>
        </w:rPr>
        <w:t>（一）职能职责</w:t>
      </w:r>
    </w:p>
    <w:p w14:paraId="5D3AEF73">
      <w:pPr>
        <w:spacing w:line="600"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1. 负责城市环境卫生设施建设、运营和维护。城区公厕、 垃圾中转站、果皮箱等环卫设施的规划、建设、管理及养(维)护等事务工作。</w:t>
      </w:r>
    </w:p>
    <w:p w14:paraId="69FA2CC2">
      <w:pPr>
        <w:spacing w:line="600"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2. 负责城市环境卫生作业管理。城区主次干道及背街小巷</w:t>
      </w:r>
      <w:bookmarkStart w:id="0" w:name="_GoBack"/>
      <w:bookmarkEnd w:id="0"/>
      <w:r>
        <w:rPr>
          <w:rFonts w:hint="default" w:ascii="Times New Roman" w:hAnsi="Times New Roman" w:eastAsia="方正仿宋_GBK" w:cs="Times New Roman"/>
          <w:sz w:val="32"/>
          <w:highlight w:val="none"/>
        </w:rPr>
        <w:t>责任区域清扫保洁、建筑垃圾管理、生活垃圾清运、餐厨垃圾收运、汉丰湖及三峡库区澎溪河开州段水域垃圾清漂；城区垃圾处置费征收的事务工作；城区洒水降尘、机扫冲洗；督促城区公共厕所(社会单位)粪便处理设施登记建卡。</w:t>
      </w:r>
    </w:p>
    <w:p w14:paraId="0BB4683F">
      <w:pPr>
        <w:spacing w:line="600"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3. 指导城乡环境卫生设施建设、环境卫生管理、垃圾分类工作。</w:t>
      </w:r>
    </w:p>
    <w:p w14:paraId="566FD5B7">
      <w:pPr>
        <w:spacing w:line="600"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4. 协助主管部门做好城区市容环卫责任单位监督考核工作。</w:t>
      </w:r>
    </w:p>
    <w:p w14:paraId="65BC405D">
      <w:pPr>
        <w:spacing w:line="600"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5. 负责环境卫生社会宣传教育,提高公民环境卫生意识。</w:t>
      </w:r>
    </w:p>
    <w:p w14:paraId="55EE9C02">
      <w:pPr>
        <w:pStyle w:val="12"/>
        <w:tabs>
          <w:tab w:val="center" w:pos="4153"/>
          <w:tab w:val="left" w:pos="7275"/>
        </w:tabs>
        <w:spacing w:line="600" w:lineRule="exact"/>
        <w:ind w:left="640" w:firstLine="0" w:firstLineChars="0"/>
        <w:jc w:val="left"/>
        <w:rPr>
          <w:rFonts w:hint="default" w:ascii="Times New Roman" w:hAnsi="Times New Roman" w:eastAsia="方正楷体_GBK" w:cs="Times New Roman"/>
          <w:sz w:val="32"/>
          <w:highlight w:val="none"/>
        </w:rPr>
      </w:pPr>
      <w:r>
        <w:rPr>
          <w:rFonts w:hint="default" w:ascii="Times New Roman" w:hAnsi="Times New Roman" w:eastAsia="方正楷体_GBK" w:cs="Times New Roman"/>
          <w:sz w:val="32"/>
          <w:highlight w:val="none"/>
        </w:rPr>
        <w:t>（二）单位构成</w:t>
      </w:r>
    </w:p>
    <w:p w14:paraId="39F867BB">
      <w:pPr>
        <w:pStyle w:val="12"/>
        <w:tabs>
          <w:tab w:val="center" w:pos="4153"/>
          <w:tab w:val="left" w:pos="7275"/>
        </w:tabs>
        <w:spacing w:line="600" w:lineRule="exact"/>
        <w:ind w:firstLine="640"/>
        <w:jc w:val="left"/>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我单位内设一室三所，即办公室、清扫保洁所、清运所、水域环境卫生所。</w:t>
      </w:r>
    </w:p>
    <w:p w14:paraId="521134FE">
      <w:pPr>
        <w:pStyle w:val="12"/>
        <w:tabs>
          <w:tab w:val="center" w:pos="4153"/>
          <w:tab w:val="left" w:pos="7275"/>
        </w:tabs>
        <w:spacing w:line="600" w:lineRule="exact"/>
        <w:ind w:firstLine="640"/>
        <w:jc w:val="left"/>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lang w:val="en-US" w:eastAsia="zh-CN"/>
        </w:rPr>
        <w:t>从预算单位构成看，本单位属于二级预算单位，主管部门为重庆市开州区城市管理局。</w:t>
      </w:r>
    </w:p>
    <w:p w14:paraId="7455F905">
      <w:pPr>
        <w:spacing w:line="600" w:lineRule="exact"/>
        <w:ind w:left="640"/>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highlight w:val="none"/>
        </w:rPr>
        <w:t>二、部门收支总体情况</w:t>
      </w:r>
    </w:p>
    <w:p w14:paraId="5080083F">
      <w:pPr>
        <w:spacing w:line="600"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楷体_GBK" w:cs="Times New Roman"/>
          <w:sz w:val="32"/>
          <w:highlight w:val="none"/>
        </w:rPr>
        <w:t>（一）收入预算：</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年年初预算数</w:t>
      </w:r>
      <w:r>
        <w:rPr>
          <w:rFonts w:hint="default" w:ascii="Times New Roman" w:hAnsi="Times New Roman" w:eastAsia="方正仿宋_GBK" w:cs="Times New Roman"/>
          <w:sz w:val="32"/>
          <w:highlight w:val="none"/>
          <w:lang w:val="en-US" w:eastAsia="zh-CN"/>
        </w:rPr>
        <w:t>597.36</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万元，其中：一般公共预算拨款</w:t>
      </w:r>
      <w:r>
        <w:rPr>
          <w:rFonts w:hint="default" w:ascii="Times New Roman" w:hAnsi="Times New Roman" w:eastAsia="方正仿宋_GBK" w:cs="Times New Roman"/>
          <w:sz w:val="32"/>
          <w:highlight w:val="none"/>
          <w:lang w:val="en-US" w:eastAsia="zh-CN"/>
        </w:rPr>
        <w:t>597.36</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万元，政府性基金预算拨款</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万元，国有资本经营预算收入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rPr>
        <w:t>上年结转</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万元，事业收入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万元，事业单位经营收入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万元，其他收入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万元。收入较</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val="en-US" w:eastAsia="zh-CN"/>
        </w:rPr>
        <w:t>减少1.72</w:t>
      </w:r>
      <w:r>
        <w:rPr>
          <w:rFonts w:hint="default" w:ascii="Times New Roman" w:hAnsi="Times New Roman" w:eastAsia="方正仿宋_GBK" w:cs="Times New Roman"/>
          <w:sz w:val="32"/>
          <w:highlight w:val="none"/>
        </w:rPr>
        <w:t>万元，主要是</w:t>
      </w:r>
      <w:r>
        <w:rPr>
          <w:rFonts w:hint="default" w:ascii="Times New Roman" w:hAnsi="Times New Roman" w:eastAsia="方正仿宋_GBK" w:cs="Times New Roman"/>
          <w:color w:val="auto"/>
          <w:sz w:val="32"/>
          <w:highlight w:val="none"/>
          <w:lang w:val="en-US" w:eastAsia="zh-CN"/>
        </w:rPr>
        <w:t>基本支出</w:t>
      </w:r>
      <w:r>
        <w:rPr>
          <w:rFonts w:hint="default" w:ascii="Times New Roman" w:hAnsi="Times New Roman" w:eastAsia="方正仿宋_GBK" w:cs="Times New Roman"/>
          <w:sz w:val="32"/>
          <w:highlight w:val="none"/>
        </w:rPr>
        <w:t>经费拨款</w:t>
      </w:r>
      <w:r>
        <w:rPr>
          <w:rFonts w:hint="default" w:ascii="Times New Roman" w:hAnsi="Times New Roman" w:eastAsia="方正仿宋_GBK" w:cs="Times New Roman"/>
          <w:sz w:val="32"/>
          <w:highlight w:val="none"/>
          <w:lang w:val="en-US" w:eastAsia="zh-CN"/>
        </w:rPr>
        <w:t>减少1.72</w:t>
      </w:r>
      <w:r>
        <w:rPr>
          <w:rFonts w:hint="default" w:ascii="Times New Roman" w:hAnsi="Times New Roman" w:eastAsia="方正仿宋_GBK" w:cs="Times New Roman"/>
          <w:sz w:val="32"/>
          <w:highlight w:val="none"/>
        </w:rPr>
        <w:t>万元。</w:t>
      </w:r>
    </w:p>
    <w:p w14:paraId="02C7CC1D">
      <w:pPr>
        <w:spacing w:line="600"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楷体_GBK" w:cs="Times New Roman"/>
          <w:sz w:val="32"/>
          <w:highlight w:val="none"/>
        </w:rPr>
        <w:t>（二）支出预算：</w:t>
      </w: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年年初预算数</w:t>
      </w:r>
      <w:r>
        <w:rPr>
          <w:rFonts w:hint="default" w:ascii="Times New Roman" w:hAnsi="Times New Roman" w:eastAsia="方正仿宋_GBK" w:cs="Times New Roman"/>
          <w:sz w:val="32"/>
          <w:highlight w:val="none"/>
          <w:lang w:val="en-US" w:eastAsia="zh-CN"/>
        </w:rPr>
        <w:t>597.36</w:t>
      </w:r>
      <w:r>
        <w:rPr>
          <w:rFonts w:hint="default" w:ascii="Times New Roman" w:hAnsi="Times New Roman" w:eastAsia="方正仿宋_GBK" w:cs="Times New Roman"/>
          <w:sz w:val="32"/>
          <w:highlight w:val="none"/>
        </w:rPr>
        <w:t>万元，其中：一般公共服务支出预算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万元，教育支出预算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万元，社会保障和就业支出预算</w:t>
      </w:r>
      <w:r>
        <w:rPr>
          <w:rFonts w:hint="default" w:ascii="Times New Roman" w:hAnsi="Times New Roman" w:eastAsia="方正仿宋_GBK" w:cs="Times New Roman"/>
          <w:sz w:val="32"/>
          <w:highlight w:val="none"/>
          <w:lang w:val="en-US" w:eastAsia="zh-CN"/>
        </w:rPr>
        <w:t>106.45</w:t>
      </w:r>
      <w:r>
        <w:rPr>
          <w:rFonts w:hint="default" w:ascii="Times New Roman" w:hAnsi="Times New Roman" w:eastAsia="方正仿宋_GBK" w:cs="Times New Roman"/>
          <w:sz w:val="32"/>
          <w:highlight w:val="none"/>
        </w:rPr>
        <w:t>万元，卫生健康支出预算</w:t>
      </w:r>
      <w:r>
        <w:rPr>
          <w:rFonts w:hint="default" w:ascii="Times New Roman" w:hAnsi="Times New Roman" w:eastAsia="方正仿宋_GBK" w:cs="Times New Roman"/>
          <w:sz w:val="32"/>
          <w:highlight w:val="none"/>
          <w:lang w:val="en-US" w:eastAsia="zh-CN"/>
        </w:rPr>
        <w:t>29.82</w:t>
      </w:r>
      <w:r>
        <w:rPr>
          <w:rFonts w:hint="default" w:ascii="Times New Roman" w:hAnsi="Times New Roman" w:eastAsia="方正仿宋_GBK" w:cs="Times New Roman"/>
          <w:sz w:val="32"/>
          <w:highlight w:val="none"/>
        </w:rPr>
        <w:t>万元，城乡社区支出预算</w:t>
      </w:r>
      <w:r>
        <w:rPr>
          <w:rFonts w:hint="default" w:ascii="Times New Roman" w:hAnsi="Times New Roman" w:eastAsia="方正仿宋_GBK" w:cs="Times New Roman"/>
          <w:sz w:val="32"/>
          <w:highlight w:val="none"/>
          <w:lang w:val="en-US" w:eastAsia="zh-CN"/>
        </w:rPr>
        <w:t>432.32</w:t>
      </w:r>
      <w:r>
        <w:rPr>
          <w:rFonts w:hint="default" w:ascii="Times New Roman" w:hAnsi="Times New Roman" w:eastAsia="方正仿宋_GBK" w:cs="Times New Roman"/>
          <w:sz w:val="32"/>
          <w:highlight w:val="none"/>
        </w:rPr>
        <w:t>万元，住房保障支出预算</w:t>
      </w:r>
      <w:r>
        <w:rPr>
          <w:rFonts w:hint="default" w:ascii="Times New Roman" w:hAnsi="Times New Roman" w:eastAsia="方正仿宋_GBK" w:cs="Times New Roman"/>
          <w:sz w:val="32"/>
          <w:highlight w:val="none"/>
          <w:lang w:val="en-US" w:eastAsia="zh-CN"/>
        </w:rPr>
        <w:t>28.77</w:t>
      </w:r>
      <w:r>
        <w:rPr>
          <w:rFonts w:hint="default" w:ascii="Times New Roman" w:hAnsi="Times New Roman" w:eastAsia="方正仿宋_GBK" w:cs="Times New Roman"/>
          <w:sz w:val="32"/>
          <w:highlight w:val="none"/>
        </w:rPr>
        <w:t>万元。支出预算较</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w:t>
      </w:r>
      <w:r>
        <w:rPr>
          <w:rFonts w:hint="default" w:ascii="Times New Roman" w:hAnsi="Times New Roman" w:eastAsia="方正仿宋_GBK" w:cs="Times New Roman"/>
          <w:sz w:val="32"/>
          <w:highlight w:val="none"/>
          <w:lang w:val="en-US" w:eastAsia="zh-CN"/>
        </w:rPr>
        <w:t>减少1.72</w:t>
      </w:r>
      <w:r>
        <w:rPr>
          <w:rFonts w:hint="default" w:ascii="Times New Roman" w:hAnsi="Times New Roman" w:eastAsia="方正仿宋_GBK" w:cs="Times New Roman"/>
          <w:sz w:val="32"/>
          <w:highlight w:val="none"/>
        </w:rPr>
        <w:t>万元，主要是基本支出预算</w:t>
      </w:r>
      <w:r>
        <w:rPr>
          <w:rFonts w:hint="default" w:ascii="Times New Roman" w:hAnsi="Times New Roman" w:eastAsia="方正仿宋_GBK" w:cs="Times New Roman"/>
          <w:sz w:val="32"/>
          <w:highlight w:val="none"/>
          <w:lang w:val="en-US" w:eastAsia="zh-CN"/>
        </w:rPr>
        <w:t>减少1.72</w:t>
      </w:r>
      <w:r>
        <w:rPr>
          <w:rFonts w:hint="default" w:ascii="Times New Roman" w:hAnsi="Times New Roman" w:eastAsia="方正仿宋_GBK" w:cs="Times New Roman"/>
          <w:sz w:val="32"/>
          <w:highlight w:val="none"/>
        </w:rPr>
        <w:t>万元。</w:t>
      </w:r>
    </w:p>
    <w:p w14:paraId="33753C4D">
      <w:pPr>
        <w:spacing w:line="600" w:lineRule="exact"/>
        <w:ind w:left="640"/>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三、部门预算情况说明</w:t>
      </w:r>
    </w:p>
    <w:p w14:paraId="1A784EFA">
      <w:pPr>
        <w:spacing w:line="600"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年一般公共预算财政拨款收入</w:t>
      </w:r>
      <w:r>
        <w:rPr>
          <w:rFonts w:hint="default" w:ascii="Times New Roman" w:hAnsi="Times New Roman" w:eastAsia="方正仿宋_GBK" w:cs="Times New Roman"/>
          <w:sz w:val="32"/>
          <w:highlight w:val="none"/>
          <w:lang w:val="en-US" w:eastAsia="zh-CN"/>
        </w:rPr>
        <w:t>597.36</w:t>
      </w:r>
      <w:r>
        <w:rPr>
          <w:rFonts w:hint="default" w:ascii="Times New Roman" w:hAnsi="Times New Roman" w:eastAsia="方正仿宋_GBK" w:cs="Times New Roman"/>
          <w:sz w:val="32"/>
          <w:highlight w:val="none"/>
        </w:rPr>
        <w:t>万元，一般公共预算财政拨款支出</w:t>
      </w:r>
      <w:r>
        <w:rPr>
          <w:rFonts w:hint="default" w:ascii="Times New Roman" w:hAnsi="Times New Roman" w:eastAsia="方正仿宋_GBK" w:cs="Times New Roman"/>
          <w:sz w:val="32"/>
          <w:highlight w:val="none"/>
          <w:lang w:val="en-US" w:eastAsia="zh-CN"/>
        </w:rPr>
        <w:t>597.36</w:t>
      </w:r>
      <w:r>
        <w:rPr>
          <w:rFonts w:hint="default" w:ascii="Times New Roman" w:hAnsi="Times New Roman" w:eastAsia="方正仿宋_GBK" w:cs="Times New Roman"/>
          <w:sz w:val="32"/>
          <w:highlight w:val="none"/>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年减少</w:t>
      </w:r>
      <w:r>
        <w:rPr>
          <w:rFonts w:hint="default" w:ascii="Times New Roman" w:hAnsi="Times New Roman" w:eastAsia="方正仿宋_GBK" w:cs="Times New Roman"/>
          <w:sz w:val="32"/>
          <w:highlight w:val="none"/>
          <w:lang w:val="en-US" w:eastAsia="zh-CN"/>
        </w:rPr>
        <w:t>1.72</w:t>
      </w:r>
      <w:r>
        <w:rPr>
          <w:rFonts w:hint="default" w:ascii="Times New Roman" w:hAnsi="Times New Roman" w:eastAsia="方正仿宋_GBK" w:cs="Times New Roman"/>
          <w:sz w:val="32"/>
          <w:highlight w:val="none"/>
        </w:rPr>
        <w:t>万元。其中：基本支出</w:t>
      </w:r>
      <w:r>
        <w:rPr>
          <w:rFonts w:hint="default" w:ascii="Times New Roman" w:hAnsi="Times New Roman" w:eastAsia="方正仿宋_GBK" w:cs="Times New Roman"/>
          <w:sz w:val="32"/>
          <w:highlight w:val="none"/>
          <w:lang w:val="en-US" w:eastAsia="zh-CN"/>
        </w:rPr>
        <w:t>597.36</w:t>
      </w:r>
      <w:r>
        <w:rPr>
          <w:rFonts w:hint="default" w:ascii="Times New Roman" w:hAnsi="Times New Roman" w:eastAsia="方正仿宋_GBK" w:cs="Times New Roman"/>
          <w:sz w:val="32"/>
          <w:highlight w:val="none"/>
        </w:rPr>
        <w:t>万元，比</w:t>
      </w:r>
      <w:r>
        <w:rPr>
          <w:rFonts w:hint="default" w:ascii="Times New Roman" w:hAnsi="Times New Roman" w:eastAsia="方正仿宋_GBK" w:cs="Times New Roman"/>
          <w:sz w:val="32"/>
          <w:highlight w:val="none"/>
          <w:lang w:val="en-US" w:eastAsia="zh-CN"/>
        </w:rPr>
        <w:t>2024</w:t>
      </w:r>
      <w:r>
        <w:rPr>
          <w:rFonts w:hint="default" w:ascii="Times New Roman" w:hAnsi="Times New Roman" w:eastAsia="方正仿宋_GBK" w:cs="Times New Roman"/>
          <w:sz w:val="32"/>
          <w:highlight w:val="none"/>
        </w:rPr>
        <w:t>年减少</w:t>
      </w:r>
      <w:r>
        <w:rPr>
          <w:rFonts w:hint="default" w:ascii="Times New Roman" w:hAnsi="Times New Roman" w:eastAsia="方正仿宋_GBK" w:cs="Times New Roman"/>
          <w:sz w:val="32"/>
          <w:highlight w:val="none"/>
          <w:lang w:val="en-US" w:eastAsia="zh-CN"/>
        </w:rPr>
        <w:t>1.72</w:t>
      </w:r>
      <w:r>
        <w:rPr>
          <w:rFonts w:hint="default" w:ascii="Times New Roman" w:hAnsi="Times New Roman" w:eastAsia="方正仿宋_GBK" w:cs="Times New Roman"/>
          <w:sz w:val="32"/>
          <w:highlight w:val="none"/>
        </w:rPr>
        <w:t>万元，主要原因是</w:t>
      </w:r>
      <w:r>
        <w:rPr>
          <w:rFonts w:hint="default" w:ascii="Times New Roman" w:hAnsi="Times New Roman" w:eastAsia="方正仿宋_GBK" w:cs="Times New Roman"/>
          <w:sz w:val="32"/>
          <w:highlight w:val="none"/>
          <w:lang w:val="en-US" w:eastAsia="zh-CN"/>
        </w:rPr>
        <w:t>人员减少</w:t>
      </w:r>
      <w:r>
        <w:rPr>
          <w:rFonts w:hint="default" w:ascii="Times New Roman" w:hAnsi="Times New Roman" w:eastAsia="方正仿宋_GBK" w:cs="Times New Roman"/>
          <w:sz w:val="32"/>
          <w:highlight w:val="none"/>
        </w:rPr>
        <w:t>，主要用于保障在职人员工资福利及社会保险缴费，离休人员离休费，退休人员补助等，保障部门正常运转的各项商品服务支出；项目支出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val="en-US" w:eastAsia="zh-CN"/>
        </w:rPr>
        <w:t>与2024年持平</w:t>
      </w:r>
      <w:r>
        <w:rPr>
          <w:rFonts w:hint="default" w:ascii="Times New Roman" w:hAnsi="Times New Roman" w:eastAsia="方正仿宋_GBK" w:cs="Times New Roman"/>
          <w:sz w:val="32"/>
          <w:highlight w:val="none"/>
        </w:rPr>
        <w:t>。</w:t>
      </w:r>
    </w:p>
    <w:p w14:paraId="1610EA87">
      <w:pPr>
        <w:spacing w:line="600" w:lineRule="exact"/>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年政府性基金预算收入</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 xml:space="preserve">万元，政府性基金预算支出  </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val="en-US" w:eastAsia="zh-CN"/>
        </w:rPr>
        <w:t>与2024年持平</w:t>
      </w:r>
      <w:r>
        <w:rPr>
          <w:rFonts w:hint="default" w:ascii="Times New Roman" w:hAnsi="Times New Roman" w:eastAsia="方正仿宋_GBK" w:cs="Times New Roman"/>
          <w:color w:val="auto"/>
          <w:sz w:val="32"/>
          <w:highlight w:val="none"/>
          <w:lang w:val="en-US" w:eastAsia="zh-CN"/>
        </w:rPr>
        <w:t>。</w:t>
      </w:r>
    </w:p>
    <w:p w14:paraId="70E38C95">
      <w:pPr>
        <w:spacing w:line="600" w:lineRule="exact"/>
        <w:ind w:left="640"/>
        <w:rPr>
          <w:rFonts w:hint="default" w:ascii="Times New Roman" w:hAnsi="Times New Roman" w:eastAsia="方正仿宋_GBK" w:cs="Times New Roman"/>
          <w:sz w:val="32"/>
          <w:highlight w:val="none"/>
        </w:rPr>
      </w:pPr>
      <w:r>
        <w:rPr>
          <w:rFonts w:hint="default" w:ascii="Times New Roman" w:hAnsi="Times New Roman" w:eastAsia="方正黑体_GBK" w:cs="Times New Roman"/>
          <w:sz w:val="32"/>
          <w:highlight w:val="none"/>
        </w:rPr>
        <w:t>四、“三公”经费情况说明</w:t>
      </w:r>
    </w:p>
    <w:p w14:paraId="2269DE94">
      <w:pPr>
        <w:spacing w:line="600" w:lineRule="exact"/>
        <w:ind w:firstLine="6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lang w:val="en-US" w:eastAsia="zh-CN"/>
        </w:rPr>
        <w:t>2025</w:t>
      </w:r>
      <w:r>
        <w:rPr>
          <w:rFonts w:hint="default" w:ascii="Times New Roman" w:hAnsi="Times New Roman" w:eastAsia="方正仿宋_GBK" w:cs="Times New Roman"/>
          <w:sz w:val="32"/>
          <w:highlight w:val="none"/>
        </w:rPr>
        <w:t>年“三公”经费预算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val="en-US" w:eastAsia="zh-CN"/>
        </w:rPr>
        <w:t>与2024年持平</w:t>
      </w:r>
      <w:r>
        <w:rPr>
          <w:rFonts w:hint="default" w:ascii="Times New Roman" w:hAnsi="Times New Roman" w:eastAsia="方正仿宋_GBK" w:cs="Times New Roman"/>
          <w:sz w:val="32"/>
          <w:highlight w:val="none"/>
        </w:rPr>
        <w:t>。其中：因公出国（境）费用</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val="en-US" w:eastAsia="zh-CN"/>
        </w:rPr>
        <w:t>与2024年持平</w:t>
      </w:r>
      <w:r>
        <w:rPr>
          <w:rFonts w:hint="default" w:ascii="Times New Roman" w:hAnsi="Times New Roman" w:eastAsia="方正仿宋_GBK" w:cs="Times New Roman"/>
          <w:sz w:val="32"/>
          <w:highlight w:val="none"/>
        </w:rPr>
        <w:t>；公务接待费</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val="en-US" w:eastAsia="zh-CN"/>
        </w:rPr>
        <w:t>与2024年持平</w:t>
      </w:r>
      <w:r>
        <w:rPr>
          <w:rFonts w:hint="default" w:ascii="Times New Roman" w:hAnsi="Times New Roman" w:eastAsia="方正仿宋_GBK" w:cs="Times New Roman"/>
          <w:sz w:val="32"/>
          <w:highlight w:val="none"/>
        </w:rPr>
        <w:t>；公务用车运行维护费</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val="en-US" w:eastAsia="zh-CN"/>
        </w:rPr>
        <w:t>与2024年持平</w:t>
      </w:r>
      <w:r>
        <w:rPr>
          <w:rFonts w:hint="default" w:ascii="Times New Roman" w:hAnsi="Times New Roman" w:eastAsia="方正仿宋_GBK" w:cs="Times New Roman"/>
          <w:sz w:val="32"/>
          <w:highlight w:val="none"/>
        </w:rPr>
        <w:t>；公务用车购置费</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r>
        <w:rPr>
          <w:rFonts w:hint="default" w:ascii="Times New Roman" w:hAnsi="Times New Roman" w:eastAsia="方正仿宋_GBK" w:cs="Times New Roman"/>
          <w:sz w:val="32"/>
          <w:highlight w:val="none"/>
          <w:lang w:val="en-US" w:eastAsia="zh-CN"/>
        </w:rPr>
        <w:t>与2024年持平</w:t>
      </w:r>
      <w:r>
        <w:rPr>
          <w:rFonts w:hint="default" w:ascii="Times New Roman" w:hAnsi="Times New Roman" w:eastAsia="方正仿宋_GBK" w:cs="Times New Roman"/>
          <w:sz w:val="32"/>
          <w:highlight w:val="none"/>
        </w:rPr>
        <w:t>。</w:t>
      </w:r>
    </w:p>
    <w:p w14:paraId="66DA269F">
      <w:pPr>
        <w:spacing w:line="600" w:lineRule="exact"/>
        <w:ind w:left="640"/>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五、其他重要事项的情况说明</w:t>
      </w:r>
    </w:p>
    <w:p w14:paraId="3DD581E0">
      <w:pPr>
        <w:ind w:firstLine="640"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sz w:val="32"/>
          <w:highlight w:val="none"/>
        </w:rPr>
        <w:t>我单位不在机关运行经费统计范围之内。</w:t>
      </w:r>
    </w:p>
    <w:p w14:paraId="6597EDD6">
      <w:pPr>
        <w:ind w:firstLine="643" w:firstLineChars="200"/>
        <w:rPr>
          <w:rFonts w:hint="default" w:ascii="Times New Roman" w:hAnsi="Times New Roman" w:eastAsia="方正仿宋_GBK" w:cs="Times New Roman"/>
          <w:sz w:val="32"/>
          <w:highlight w:val="none"/>
        </w:rPr>
      </w:pPr>
      <w:r>
        <w:rPr>
          <w:rFonts w:hint="default" w:ascii="Times New Roman" w:hAnsi="Times New Roman" w:eastAsia="方正仿宋_GBK" w:cs="Times New Roman"/>
          <w:b/>
          <w:sz w:val="32"/>
          <w:highlight w:val="none"/>
        </w:rPr>
        <w:t>2、政府采购情况。</w:t>
      </w:r>
      <w:r>
        <w:rPr>
          <w:rFonts w:hint="default" w:ascii="Times New Roman" w:hAnsi="Times New Roman" w:eastAsia="方正仿宋_GBK" w:cs="Times New Roman"/>
          <w:sz w:val="32"/>
          <w:highlight w:val="none"/>
        </w:rPr>
        <w:t>预算单位政府采购预算总额</w:t>
      </w:r>
      <w:r>
        <w:rPr>
          <w:rFonts w:hint="default" w:ascii="Times New Roman" w:hAnsi="Times New Roman" w:eastAsia="方正仿宋_GBK" w:cs="Times New Roman"/>
          <w:sz w:val="32"/>
          <w:highlight w:val="none"/>
          <w:lang w:val="en-US" w:eastAsia="zh-CN"/>
        </w:rPr>
        <w:t>2.78</w:t>
      </w:r>
      <w:r>
        <w:rPr>
          <w:rFonts w:hint="default" w:ascii="Times New Roman" w:hAnsi="Times New Roman" w:eastAsia="方正仿宋_GBK" w:cs="Times New Roman"/>
          <w:sz w:val="32"/>
          <w:highlight w:val="none"/>
        </w:rPr>
        <w:t>万元：政府采购货物预算</w:t>
      </w:r>
      <w:r>
        <w:rPr>
          <w:rFonts w:hint="default" w:ascii="Times New Roman" w:hAnsi="Times New Roman" w:eastAsia="方正仿宋_GBK" w:cs="Times New Roman"/>
          <w:sz w:val="32"/>
          <w:highlight w:val="none"/>
          <w:lang w:val="en-US" w:eastAsia="zh-CN"/>
        </w:rPr>
        <w:t>2.78</w:t>
      </w:r>
      <w:r>
        <w:rPr>
          <w:rFonts w:hint="default" w:ascii="Times New Roman" w:hAnsi="Times New Roman" w:eastAsia="方正仿宋_GBK" w:cs="Times New Roman"/>
          <w:sz w:val="32"/>
          <w:highlight w:val="none"/>
        </w:rPr>
        <w:t>万元、政府采购工程预算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万元、政府采购服务预算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万元；其中一般公共预算拨款政府采购</w:t>
      </w:r>
      <w:r>
        <w:rPr>
          <w:rFonts w:hint="default" w:ascii="Times New Roman" w:hAnsi="Times New Roman" w:eastAsia="方正仿宋_GBK" w:cs="Times New Roman"/>
          <w:sz w:val="32"/>
          <w:highlight w:val="none"/>
          <w:lang w:val="en-US" w:eastAsia="zh-CN"/>
        </w:rPr>
        <w:t>2.78</w:t>
      </w:r>
      <w:r>
        <w:rPr>
          <w:rFonts w:hint="default" w:ascii="Times New Roman" w:hAnsi="Times New Roman" w:eastAsia="方正仿宋_GBK" w:cs="Times New Roman"/>
          <w:sz w:val="32"/>
          <w:highlight w:val="none"/>
        </w:rPr>
        <w:t>万元：政府采购货物预算</w:t>
      </w:r>
      <w:r>
        <w:rPr>
          <w:rFonts w:hint="default" w:ascii="Times New Roman" w:hAnsi="Times New Roman" w:eastAsia="方正仿宋_GBK" w:cs="Times New Roman"/>
          <w:sz w:val="32"/>
          <w:highlight w:val="none"/>
          <w:lang w:val="en-US" w:eastAsia="zh-CN"/>
        </w:rPr>
        <w:t>2.78</w:t>
      </w:r>
      <w:r>
        <w:rPr>
          <w:rFonts w:hint="default" w:ascii="Times New Roman" w:hAnsi="Times New Roman" w:eastAsia="方正仿宋_GBK" w:cs="Times New Roman"/>
          <w:sz w:val="32"/>
          <w:highlight w:val="none"/>
        </w:rPr>
        <w:t>万元、政府采购工程预算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万元、政府采购服务预算</w:t>
      </w:r>
      <w:r>
        <w:rPr>
          <w:rFonts w:hint="default" w:ascii="Times New Roman" w:hAnsi="Times New Roman" w:eastAsia="方正仿宋_GBK" w:cs="Times New Roman"/>
          <w:sz w:val="32"/>
          <w:highlight w:val="none"/>
          <w:lang w:val="en-US" w:eastAsia="zh-CN"/>
        </w:rPr>
        <w:t>0</w:t>
      </w:r>
      <w:r>
        <w:rPr>
          <w:rFonts w:hint="default" w:ascii="Times New Roman" w:hAnsi="Times New Roman" w:eastAsia="方正仿宋_GBK" w:cs="Times New Roman"/>
          <w:sz w:val="32"/>
          <w:highlight w:val="none"/>
        </w:rPr>
        <w:t>万元。</w:t>
      </w:r>
    </w:p>
    <w:p w14:paraId="2347A8B6">
      <w:pPr>
        <w:ind w:firstLine="643" w:firstLineChars="200"/>
        <w:rPr>
          <w:rFonts w:hint="default" w:ascii="Times New Roman" w:hAnsi="Times New Roman" w:eastAsia="方正仿宋_GBK" w:cs="Times New Roman"/>
          <w:color w:val="000000"/>
          <w:sz w:val="32"/>
          <w:highlight w:val="none"/>
        </w:rPr>
      </w:pPr>
      <w:r>
        <w:rPr>
          <w:rFonts w:hint="default" w:ascii="Times New Roman" w:hAnsi="Times New Roman" w:eastAsia="方正仿宋_GBK" w:cs="Times New Roman"/>
          <w:b/>
          <w:sz w:val="32"/>
          <w:highlight w:val="none"/>
        </w:rPr>
        <w:t>3、绩效目标设置情况。</w:t>
      </w:r>
      <w:r>
        <w:rPr>
          <w:rFonts w:hint="default" w:ascii="Times New Roman" w:hAnsi="Times New Roman" w:eastAsia="方正仿宋_GBK" w:cs="Times New Roman"/>
          <w:color w:val="000000"/>
          <w:sz w:val="32"/>
          <w:highlight w:val="none"/>
          <w:lang w:val="en-US" w:eastAsia="zh-CN"/>
        </w:rPr>
        <w:t>2025</w:t>
      </w:r>
      <w:r>
        <w:rPr>
          <w:rFonts w:hint="default" w:ascii="Times New Roman" w:hAnsi="Times New Roman" w:eastAsia="方正仿宋_GBK" w:cs="Times New Roman"/>
          <w:color w:val="000000"/>
          <w:sz w:val="32"/>
          <w:highlight w:val="none"/>
        </w:rPr>
        <w:t>年项目支出均实行了绩效目标管理，</w:t>
      </w:r>
      <w:r>
        <w:rPr>
          <w:rFonts w:hint="default" w:ascii="Times New Roman" w:hAnsi="Times New Roman" w:eastAsia="方正仿宋_GBK" w:cs="Times New Roman"/>
          <w:sz w:val="32"/>
          <w:szCs w:val="32"/>
          <w:lang w:val="en-US" w:eastAsia="zh-CN"/>
        </w:rPr>
        <w:t>本单位无相关收支</w:t>
      </w:r>
      <w:r>
        <w:rPr>
          <w:rFonts w:hint="default" w:ascii="Times New Roman" w:hAnsi="Times New Roman" w:eastAsia="方正仿宋_GBK" w:cs="Times New Roman"/>
          <w:color w:val="000000"/>
          <w:sz w:val="32"/>
          <w:highlight w:val="none"/>
        </w:rPr>
        <w:t>。</w:t>
      </w:r>
    </w:p>
    <w:p w14:paraId="60DA6247">
      <w:pPr>
        <w:ind w:firstLine="643" w:firstLineChars="200"/>
        <w:rPr>
          <w:rFonts w:hint="default" w:ascii="Times New Roman" w:hAnsi="Times New Roman" w:eastAsia="方正仿宋_GBK" w:cs="Times New Roman"/>
          <w:color w:val="000000"/>
          <w:sz w:val="32"/>
          <w:highlight w:val="none"/>
        </w:rPr>
      </w:pPr>
      <w:r>
        <w:rPr>
          <w:rFonts w:hint="default" w:ascii="Times New Roman" w:hAnsi="Times New Roman" w:eastAsia="方正仿宋_GBK" w:cs="Times New Roman"/>
          <w:b/>
          <w:color w:val="000000"/>
          <w:sz w:val="32"/>
          <w:highlight w:val="none"/>
        </w:rPr>
        <w:t>4、国有资产占有使用情况。</w:t>
      </w:r>
      <w:r>
        <w:rPr>
          <w:rFonts w:hint="default" w:ascii="Times New Roman" w:hAnsi="Times New Roman" w:eastAsia="方正仿宋_GBK" w:cs="Times New Roman"/>
          <w:color w:val="000000"/>
          <w:sz w:val="32"/>
          <w:highlight w:val="none"/>
        </w:rPr>
        <w:t>截</w:t>
      </w:r>
      <w:r>
        <w:rPr>
          <w:rFonts w:hint="default" w:ascii="Times New Roman" w:hAnsi="Times New Roman" w:eastAsia="方正仿宋_GBK" w:cs="Times New Roman"/>
          <w:color w:val="000000"/>
          <w:sz w:val="32"/>
          <w:highlight w:val="none"/>
          <w:lang w:eastAsia="zh-CN"/>
        </w:rPr>
        <w:t>至</w:t>
      </w:r>
      <w:r>
        <w:rPr>
          <w:rFonts w:hint="default" w:ascii="Times New Roman" w:hAnsi="Times New Roman" w:eastAsia="方正仿宋_GBK" w:cs="Times New Roman"/>
          <w:color w:val="000000"/>
          <w:sz w:val="32"/>
          <w:highlight w:val="none"/>
          <w:lang w:val="en-US" w:eastAsia="zh-CN"/>
        </w:rPr>
        <w:t>2024</w:t>
      </w:r>
      <w:r>
        <w:rPr>
          <w:rFonts w:hint="default" w:ascii="Times New Roman" w:hAnsi="Times New Roman" w:eastAsia="方正仿宋_GBK" w:cs="Times New Roman"/>
          <w:color w:val="000000"/>
          <w:sz w:val="32"/>
          <w:highlight w:val="none"/>
        </w:rPr>
        <w:t>年12月，</w:t>
      </w:r>
      <w:r>
        <w:rPr>
          <w:rFonts w:hint="default" w:ascii="Times New Roman" w:hAnsi="Times New Roman" w:eastAsia="方正仿宋_GBK" w:cs="Times New Roman"/>
          <w:color w:val="000000"/>
          <w:sz w:val="32"/>
          <w:highlight w:val="none"/>
          <w:lang w:eastAsia="zh-CN"/>
        </w:rPr>
        <w:t>我</w:t>
      </w:r>
      <w:r>
        <w:rPr>
          <w:rFonts w:hint="default" w:ascii="Times New Roman" w:hAnsi="Times New Roman" w:eastAsia="方正仿宋_GBK" w:cs="Times New Roman"/>
          <w:color w:val="000000"/>
          <w:sz w:val="32"/>
          <w:highlight w:val="none"/>
        </w:rPr>
        <w:t>单位共有车辆</w:t>
      </w:r>
      <w:r>
        <w:rPr>
          <w:rFonts w:hint="default" w:ascii="Times New Roman" w:hAnsi="Times New Roman" w:eastAsia="方正仿宋_GBK" w:cs="Times New Roman"/>
          <w:color w:val="000000"/>
          <w:sz w:val="32"/>
          <w:highlight w:val="none"/>
          <w:lang w:val="en-US" w:eastAsia="zh-CN"/>
        </w:rPr>
        <w:t>33</w:t>
      </w:r>
      <w:r>
        <w:rPr>
          <w:rFonts w:hint="default" w:ascii="Times New Roman" w:hAnsi="Times New Roman" w:eastAsia="方正仿宋_GBK" w:cs="Times New Roman"/>
          <w:color w:val="000000"/>
          <w:sz w:val="32"/>
          <w:highlight w:val="none"/>
        </w:rPr>
        <w:t>辆，其中一般公务用车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辆、执勤执法用车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w:t>
      </w:r>
      <w:r>
        <w:rPr>
          <w:rFonts w:hint="default" w:ascii="Times New Roman" w:hAnsi="Times New Roman" w:eastAsia="方正仿宋_GBK" w:cs="Times New Roman"/>
          <w:color w:val="000000"/>
          <w:sz w:val="32"/>
          <w:highlight w:val="none"/>
          <w:lang w:eastAsia="zh-CN"/>
        </w:rPr>
        <w:t>，</w:t>
      </w:r>
      <w:r>
        <w:rPr>
          <w:rFonts w:hint="default" w:ascii="Times New Roman" w:hAnsi="Times New Roman" w:eastAsia="方正仿宋_GBK" w:cs="Times New Roman"/>
          <w:color w:val="000000"/>
          <w:sz w:val="32"/>
          <w:highlight w:val="none"/>
          <w:lang w:val="en-US" w:eastAsia="zh-CN"/>
        </w:rPr>
        <w:t>特种专业技术用车33辆</w:t>
      </w:r>
      <w:r>
        <w:rPr>
          <w:rFonts w:hint="default" w:ascii="Times New Roman" w:hAnsi="Times New Roman" w:eastAsia="方正仿宋_GBK" w:cs="Times New Roman"/>
          <w:color w:val="000000"/>
          <w:sz w:val="32"/>
          <w:highlight w:val="none"/>
        </w:rPr>
        <w:t>。</w:t>
      </w:r>
      <w:r>
        <w:rPr>
          <w:rFonts w:hint="default" w:ascii="Times New Roman" w:hAnsi="Times New Roman" w:eastAsia="方正仿宋_GBK" w:cs="Times New Roman"/>
          <w:color w:val="000000"/>
          <w:sz w:val="32"/>
          <w:highlight w:val="none"/>
          <w:lang w:val="en-US" w:eastAsia="zh-CN"/>
        </w:rPr>
        <w:t>2025</w:t>
      </w:r>
      <w:r>
        <w:rPr>
          <w:rFonts w:hint="default" w:ascii="Times New Roman" w:hAnsi="Times New Roman" w:eastAsia="方正仿宋_GBK" w:cs="Times New Roman"/>
          <w:color w:val="000000"/>
          <w:sz w:val="32"/>
          <w:highlight w:val="none"/>
        </w:rPr>
        <w:t>年一般公共预算安排购置车辆</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辆，其中一般公务用车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辆、执勤执法用车</w:t>
      </w:r>
      <w:r>
        <w:rPr>
          <w:rFonts w:hint="default" w:ascii="Times New Roman" w:hAnsi="Times New Roman" w:eastAsia="方正仿宋_GBK" w:cs="Times New Roman"/>
          <w:color w:val="000000"/>
          <w:sz w:val="32"/>
          <w:highlight w:val="none"/>
          <w:lang w:val="en-US" w:eastAsia="zh-CN"/>
        </w:rPr>
        <w:t>0</w:t>
      </w:r>
      <w:r>
        <w:rPr>
          <w:rFonts w:hint="default" w:ascii="Times New Roman" w:hAnsi="Times New Roman" w:eastAsia="方正仿宋_GBK" w:cs="Times New Roman"/>
          <w:color w:val="000000"/>
          <w:sz w:val="32"/>
          <w:highlight w:val="none"/>
        </w:rPr>
        <w:t>辆。</w:t>
      </w:r>
    </w:p>
    <w:p w14:paraId="273534EF">
      <w:pPr>
        <w:ind w:firstLine="640" w:firstLineChars="200"/>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rPr>
        <w:t>六、专业性名词解释</w:t>
      </w:r>
    </w:p>
    <w:p w14:paraId="43577068">
      <w:pPr>
        <w:pStyle w:val="12"/>
        <w:tabs>
          <w:tab w:val="center" w:pos="4153"/>
          <w:tab w:val="left" w:pos="7275"/>
        </w:tabs>
        <w:spacing w:line="600" w:lineRule="exact"/>
        <w:ind w:firstLine="640"/>
        <w:jc w:val="left"/>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（一）财政拨款收入：</w:t>
      </w:r>
      <w:r>
        <w:rPr>
          <w:rFonts w:hint="default" w:ascii="Times New Roman" w:hAnsi="Times New Roman" w:eastAsia="方正仿宋_GBK" w:cs="Times New Roman"/>
          <w:sz w:val="32"/>
          <w:szCs w:val="32"/>
          <w:highlight w:val="none"/>
        </w:rPr>
        <w:t>指本年度从本级财政部门取得的财政拨款，包括一般公共预算财政拨款和政府性基金预算财政拨款。</w:t>
      </w:r>
    </w:p>
    <w:p w14:paraId="13121CA0">
      <w:pPr>
        <w:pStyle w:val="12"/>
        <w:tabs>
          <w:tab w:val="center" w:pos="4153"/>
          <w:tab w:val="left" w:pos="7275"/>
        </w:tabs>
        <w:spacing w:line="600" w:lineRule="exact"/>
        <w:ind w:firstLine="640"/>
        <w:jc w:val="left"/>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（二）其他收入：</w:t>
      </w:r>
      <w:r>
        <w:rPr>
          <w:rFonts w:hint="default" w:ascii="Times New Roman" w:hAnsi="Times New Roman" w:eastAsia="方正仿宋_GBK" w:cs="Times New Roman"/>
          <w:sz w:val="32"/>
          <w:szCs w:val="32"/>
          <w:highlight w:val="none"/>
        </w:rPr>
        <w:t>指单位取得的除“财政拨款收入”、“事业收入”、“经营收入”等以外的收入。</w:t>
      </w:r>
    </w:p>
    <w:p w14:paraId="43D96EA9">
      <w:pPr>
        <w:pStyle w:val="12"/>
        <w:tabs>
          <w:tab w:val="center" w:pos="4153"/>
          <w:tab w:val="left" w:pos="7275"/>
        </w:tabs>
        <w:spacing w:line="600" w:lineRule="exact"/>
        <w:ind w:firstLine="640"/>
        <w:jc w:val="left"/>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（三）基本支出：</w:t>
      </w:r>
      <w:r>
        <w:rPr>
          <w:rFonts w:hint="default" w:ascii="Times New Roman" w:hAnsi="Times New Roman" w:eastAsia="方正仿宋_GBK" w:cs="Times New Roman"/>
          <w:sz w:val="32"/>
          <w:szCs w:val="32"/>
          <w:highlight w:val="none"/>
        </w:rPr>
        <w:t>指为保障机构正常运转、完成日常工作任务而发生的人员经费和公用经费。</w:t>
      </w:r>
    </w:p>
    <w:p w14:paraId="72413461">
      <w:pPr>
        <w:pStyle w:val="12"/>
        <w:tabs>
          <w:tab w:val="center" w:pos="4153"/>
          <w:tab w:val="left" w:pos="7275"/>
        </w:tabs>
        <w:spacing w:line="600" w:lineRule="exact"/>
        <w:ind w:firstLine="640"/>
        <w:jc w:val="left"/>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（四）项目支出：</w:t>
      </w:r>
      <w:r>
        <w:rPr>
          <w:rFonts w:hint="default" w:ascii="Times New Roman" w:hAnsi="Times New Roman" w:eastAsia="方正仿宋_GBK" w:cs="Times New Roman"/>
          <w:sz w:val="32"/>
          <w:szCs w:val="32"/>
          <w:highlight w:val="none"/>
        </w:rPr>
        <w:t>指在基本支出之外为完成特定行政任务和事业发展目标所发生的支出。</w:t>
      </w:r>
    </w:p>
    <w:p w14:paraId="2FD6B015">
      <w:pPr>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（五）“三公”经费：</w:t>
      </w:r>
      <w:r>
        <w:rPr>
          <w:rFonts w:hint="default" w:ascii="Times New Roman" w:hAnsi="Times New Roman" w:eastAsia="方正仿宋_GBK" w:cs="Times New Roman"/>
          <w:sz w:val="32"/>
          <w:szCs w:val="32"/>
          <w:highlight w:val="no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6D0C09D">
      <w:pPr>
        <w:spacing w:line="600" w:lineRule="exact"/>
        <w:rPr>
          <w:rFonts w:hint="default" w:ascii="Times New Roman" w:hAnsi="Times New Roman" w:eastAsia="方正小标宋_GBK" w:cs="Times New Roman"/>
          <w:sz w:val="44"/>
          <w:szCs w:val="44"/>
          <w:highlight w:val="none"/>
        </w:rPr>
      </w:pPr>
    </w:p>
    <w:p w14:paraId="7293794C">
      <w:pPr>
        <w:spacing w:line="600" w:lineRule="exact"/>
        <w:ind w:firstLine="880" w:firstLineChars="200"/>
        <w:rPr>
          <w:rFonts w:hint="default" w:ascii="Times New Roman" w:hAnsi="Times New Roman" w:eastAsia="方正小标宋_GBK" w:cs="Times New Roman"/>
          <w:sz w:val="44"/>
          <w:szCs w:val="44"/>
          <w:highlight w:val="none"/>
        </w:rPr>
      </w:pPr>
    </w:p>
    <w:p w14:paraId="34616C5E">
      <w:pPr>
        <w:spacing w:line="600" w:lineRule="exact"/>
        <w:ind w:firstLine="880" w:firstLineChars="200"/>
        <w:rPr>
          <w:rFonts w:hint="default" w:ascii="Times New Roman" w:hAnsi="Times New Roman" w:eastAsia="方正小标宋_GBK" w:cs="Times New Roman"/>
          <w:sz w:val="44"/>
          <w:szCs w:val="44"/>
          <w:highlight w:val="none"/>
        </w:rPr>
      </w:pPr>
    </w:p>
    <w:p w14:paraId="608A62CD">
      <w:pPr>
        <w:spacing w:line="600" w:lineRule="exact"/>
        <w:ind w:firstLine="880" w:firstLineChars="200"/>
        <w:rPr>
          <w:rFonts w:hint="default" w:ascii="Times New Roman" w:hAnsi="Times New Roman" w:eastAsia="方正小标宋_GBK" w:cs="Times New Roman"/>
          <w:sz w:val="44"/>
          <w:szCs w:val="44"/>
          <w:highlight w:val="none"/>
        </w:rPr>
      </w:pPr>
    </w:p>
    <w:p w14:paraId="396F2644">
      <w:pPr>
        <w:spacing w:line="600" w:lineRule="exact"/>
        <w:ind w:firstLine="880" w:firstLineChars="200"/>
        <w:rPr>
          <w:rFonts w:hint="default" w:ascii="Times New Roman" w:hAnsi="Times New Roman" w:eastAsia="方正小标宋_GBK" w:cs="Times New Roman"/>
          <w:sz w:val="44"/>
          <w:szCs w:val="44"/>
          <w:highlight w:val="none"/>
        </w:rPr>
      </w:pPr>
    </w:p>
    <w:p w14:paraId="106407B5">
      <w:pPr>
        <w:spacing w:line="600" w:lineRule="exact"/>
        <w:ind w:firstLine="880" w:firstLineChars="200"/>
        <w:rPr>
          <w:rFonts w:hint="default" w:ascii="Times New Roman" w:hAnsi="Times New Roman" w:eastAsia="方正小标宋_GBK" w:cs="Times New Roman"/>
          <w:sz w:val="44"/>
          <w:szCs w:val="44"/>
          <w:highlight w:val="none"/>
        </w:rPr>
      </w:pPr>
    </w:p>
    <w:p w14:paraId="29E43D80">
      <w:pPr>
        <w:spacing w:line="600" w:lineRule="exact"/>
        <w:ind w:firstLine="880" w:firstLineChars="200"/>
        <w:rPr>
          <w:rFonts w:hint="default" w:ascii="Times New Roman" w:hAnsi="Times New Roman" w:eastAsia="方正小标宋_GBK" w:cs="Times New Roman"/>
          <w:sz w:val="44"/>
          <w:szCs w:val="44"/>
          <w:highlight w:val="none"/>
        </w:rPr>
      </w:pPr>
    </w:p>
    <w:p w14:paraId="377E7C68">
      <w:pPr>
        <w:spacing w:line="600" w:lineRule="exact"/>
        <w:ind w:firstLine="880" w:firstLineChars="200"/>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第二部分：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年部门预算公开报表</w:t>
      </w:r>
    </w:p>
    <w:p w14:paraId="7D743D71">
      <w:pPr>
        <w:ind w:firstLine="640" w:firstLineChars="200"/>
        <w:rPr>
          <w:rFonts w:hint="default" w:ascii="Times New Roman" w:hAnsi="Times New Roman" w:eastAsia="方正黑体_GBK" w:cs="Times New Roman"/>
          <w:sz w:val="32"/>
          <w:highlight w:val="none"/>
        </w:rPr>
      </w:pPr>
    </w:p>
    <w:p w14:paraId="1EEE150A">
      <w:pPr>
        <w:ind w:firstLine="640" w:firstLineChars="200"/>
        <w:rPr>
          <w:rFonts w:hint="default" w:ascii="Times New Roman" w:hAnsi="Times New Roman" w:eastAsia="方正黑体_GBK" w:cs="Times New Roman"/>
          <w:sz w:val="32"/>
          <w:highlight w:val="none"/>
        </w:rPr>
      </w:pPr>
      <w:r>
        <w:rPr>
          <w:rFonts w:hint="default" w:ascii="Times New Roman" w:hAnsi="Times New Roman" w:eastAsia="方正黑体_GBK" w:cs="Times New Roman"/>
          <w:sz w:val="32"/>
          <w:highlight w:val="none"/>
          <w:lang w:val="en-US" w:eastAsia="zh-CN"/>
        </w:rPr>
        <w:t>2025</w:t>
      </w:r>
      <w:r>
        <w:rPr>
          <w:rFonts w:hint="default" w:ascii="Times New Roman" w:hAnsi="Times New Roman" w:eastAsia="方正黑体_GBK" w:cs="Times New Roman"/>
          <w:sz w:val="32"/>
          <w:highlight w:val="none"/>
        </w:rPr>
        <w:t>年部门预算公开报表（详见附表重庆市开州区环境卫生管理中心</w:t>
      </w:r>
      <w:r>
        <w:rPr>
          <w:rFonts w:hint="default" w:ascii="Times New Roman" w:hAnsi="Times New Roman" w:eastAsia="方正黑体_GBK" w:cs="Times New Roman"/>
          <w:sz w:val="32"/>
          <w:highlight w:val="none"/>
          <w:lang w:val="en-US" w:eastAsia="zh-CN"/>
        </w:rPr>
        <w:t>2025</w:t>
      </w:r>
      <w:r>
        <w:rPr>
          <w:rFonts w:hint="default" w:ascii="Times New Roman" w:hAnsi="Times New Roman" w:eastAsia="方正黑体_GBK" w:cs="Times New Roman"/>
          <w:sz w:val="32"/>
          <w:highlight w:val="none"/>
        </w:rPr>
        <w:t>年部门预算公开报表）</w:t>
      </w:r>
    </w:p>
    <w:p w14:paraId="047FDFCA">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highlight w:val="none"/>
        </w:rPr>
        <w:t>部门预算公开联系人：</w:t>
      </w:r>
      <w:r>
        <w:rPr>
          <w:rFonts w:hint="default" w:ascii="Times New Roman" w:hAnsi="Times New Roman" w:eastAsia="方正楷体_GBK" w:cs="Times New Roman"/>
          <w:b w:val="0"/>
          <w:bCs/>
          <w:sz w:val="32"/>
          <w:lang w:val="en-US" w:eastAsia="zh-CN"/>
        </w:rPr>
        <w:t>向攀</w:t>
      </w:r>
      <w:r>
        <w:rPr>
          <w:rFonts w:hint="default" w:ascii="Times New Roman" w:hAnsi="Times New Roman" w:eastAsia="方正仿宋_GBK" w:cs="Times New Roman"/>
          <w:b/>
          <w:sz w:val="32"/>
          <w:highlight w:val="none"/>
        </w:rPr>
        <w:t xml:space="preserve">  联系方式：</w:t>
      </w:r>
      <w:r>
        <w:rPr>
          <w:rFonts w:hint="default" w:ascii="Times New Roman" w:hAnsi="Times New Roman" w:eastAsia="方正楷体_GBK" w:cs="Times New Roman"/>
          <w:b w:val="0"/>
          <w:bCs/>
          <w:sz w:val="32"/>
        </w:rPr>
        <w:t>023-</w:t>
      </w:r>
      <w:r>
        <w:rPr>
          <w:rFonts w:hint="default" w:ascii="Times New Roman" w:hAnsi="Times New Roman" w:eastAsia="方正楷体_GBK" w:cs="Times New Roman"/>
          <w:b w:val="0"/>
          <w:bCs/>
          <w:sz w:val="32"/>
          <w:lang w:val="en-US" w:eastAsia="zh-CN"/>
        </w:rPr>
        <w:t>52688021</w:t>
      </w:r>
    </w:p>
    <w:p w14:paraId="07FF1EC7">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1CDA8DEE">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20CA8D8F">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5A0D732C">
      <w:pPr>
        <w:spacing w:line="540" w:lineRule="exact"/>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重庆市开州区环境卫生管理中心</w:t>
      </w:r>
    </w:p>
    <w:p w14:paraId="3E1F2C81">
      <w:pPr>
        <w:spacing w:line="540" w:lineRule="exact"/>
        <w:jc w:val="center"/>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color w:val="auto"/>
          <w:sz w:val="32"/>
          <w:szCs w:val="32"/>
          <w:highlight w:val="none"/>
        </w:rPr>
        <w:t xml:space="preserve"> 202</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年3月</w:t>
      </w:r>
      <w:r>
        <w:rPr>
          <w:rFonts w:hint="default" w:ascii="Times New Roman" w:hAnsi="Times New Roman" w:eastAsia="方正仿宋_GBK" w:cs="Times New Roman"/>
          <w:color w:val="auto"/>
          <w:sz w:val="32"/>
          <w:szCs w:val="32"/>
          <w:highlight w:val="none"/>
          <w:lang w:val="en-US" w:eastAsia="zh-CN"/>
        </w:rPr>
        <w:t>28</w:t>
      </w:r>
      <w:r>
        <w:rPr>
          <w:rFonts w:hint="default" w:ascii="Times New Roman" w:hAnsi="Times New Roman" w:eastAsia="方正仿宋_GBK" w:cs="Times New Roman"/>
          <w:color w:val="auto"/>
          <w:sz w:val="32"/>
          <w:szCs w:val="32"/>
          <w:highlight w:val="none"/>
        </w:rPr>
        <w:t>日</w:t>
      </w:r>
    </w:p>
    <w:p w14:paraId="01407A6B">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4D9EF3D7">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345479D5">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5EBD3B80">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66F7832A">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0044AB23">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45B3D0B2">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13599D03">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4C2060C1">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6AE0FA70">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2"/>
          <w:szCs w:val="32"/>
          <w:lang w:val="en-US" w:eastAsia="zh-CN"/>
        </w:rPr>
      </w:pPr>
    </w:p>
    <w:p w14:paraId="76CB2946">
      <w:pPr>
        <w:pBdr>
          <w:top w:val="single" w:color="auto" w:sz="4" w:space="0"/>
          <w:bottom w:val="single" w:color="auto" w:sz="4" w:space="0"/>
        </w:pBdr>
        <w:spacing w:line="64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28"/>
          <w:szCs w:val="28"/>
          <w:lang w:val="en-US" w:eastAsia="zh-CN"/>
        </w:rPr>
        <w:t>重庆市开州区环境卫生管理中心</w:t>
      </w:r>
      <w:r>
        <w:rPr>
          <w:rFonts w:hint="eastAsia" w:ascii="Times New Roman" w:hAnsi="Times New Roman" w:eastAsia="方正仿宋_GBK" w:cs="Times New Roman"/>
          <w:sz w:val="28"/>
          <w:szCs w:val="28"/>
          <w:lang w:val="en-US" w:eastAsia="zh-CN"/>
        </w:rPr>
        <w:t>办公室</w:t>
      </w:r>
      <w:r>
        <w:rPr>
          <w:rFonts w:hint="default" w:ascii="Times New Roman" w:hAnsi="Times New Roman" w:eastAsia="方正仿宋_GBK" w:cs="Times New Roman"/>
          <w:sz w:val="28"/>
          <w:szCs w:val="28"/>
          <w:lang w:val="en-US" w:eastAsia="zh-CN"/>
        </w:rPr>
        <w:t xml:space="preserve">      2025年3月</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lang w:val="en-US" w:eastAsia="zh-CN"/>
        </w:rPr>
        <w:t>日印发</w:t>
      </w:r>
    </w:p>
    <w:sectPr>
      <w:footerReference r:id="rId3" w:type="default"/>
      <w:pgSz w:w="11906" w:h="16838"/>
      <w:pgMar w:top="1440" w:right="1803" w:bottom="1440" w:left="1803"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D3D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C5D3E">
                          <w:pPr>
                            <w:pStyle w:val="7"/>
                          </w:pPr>
                          <w:r>
                            <w:rPr>
                              <w:rFonts w:hint="default" w:ascii="Times New Roman" w:hAnsi="Times New Roman" w:cs="Times New Roma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9C5D3E">
                    <w:pPr>
                      <w:pStyle w:val="7"/>
                    </w:pPr>
                    <w:r>
                      <w:rPr>
                        <w:rFonts w:hint="default" w:ascii="Times New Roman" w:hAnsi="Times New Roman" w:cs="Times New Roma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OWI0MGU2Mzc4MDY4NmI3YjY0NWVlYzc1YjRmZmUifQ=="/>
  </w:docVars>
  <w:rsids>
    <w:rsidRoot w:val="5ED765FD"/>
    <w:rsid w:val="006A6A17"/>
    <w:rsid w:val="01D87B32"/>
    <w:rsid w:val="02D823B7"/>
    <w:rsid w:val="07BF3D0F"/>
    <w:rsid w:val="0C085249"/>
    <w:rsid w:val="10C758F8"/>
    <w:rsid w:val="119B62FB"/>
    <w:rsid w:val="12206760"/>
    <w:rsid w:val="145E6879"/>
    <w:rsid w:val="17DF1763"/>
    <w:rsid w:val="1CF1356C"/>
    <w:rsid w:val="1E495F08"/>
    <w:rsid w:val="1E7850BF"/>
    <w:rsid w:val="219420A9"/>
    <w:rsid w:val="21CB625B"/>
    <w:rsid w:val="234C60E1"/>
    <w:rsid w:val="29473F0D"/>
    <w:rsid w:val="2CDE218A"/>
    <w:rsid w:val="2E973E34"/>
    <w:rsid w:val="34845575"/>
    <w:rsid w:val="3648735C"/>
    <w:rsid w:val="37085E66"/>
    <w:rsid w:val="3A00614F"/>
    <w:rsid w:val="3F2F51B9"/>
    <w:rsid w:val="4019509C"/>
    <w:rsid w:val="4B3841EE"/>
    <w:rsid w:val="4DFE4570"/>
    <w:rsid w:val="4E4B025A"/>
    <w:rsid w:val="5D08326C"/>
    <w:rsid w:val="5ED765FD"/>
    <w:rsid w:val="652D418B"/>
    <w:rsid w:val="674F3EF0"/>
    <w:rsid w:val="6B220AA9"/>
    <w:rsid w:val="6D673464"/>
    <w:rsid w:val="70434FB9"/>
    <w:rsid w:val="740C2DE4"/>
    <w:rsid w:val="76157F37"/>
    <w:rsid w:val="786823CC"/>
    <w:rsid w:val="78CC09CF"/>
    <w:rsid w:val="7D4B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outlineLvl w:val="0"/>
    </w:pPr>
    <w:rPr>
      <w:rFonts w:eastAsia="方正黑体_GBK" w:asciiTheme="minorAscii" w:hAnsiTheme="minorAscii"/>
      <w:b/>
      <w:kern w:val="44"/>
      <w:sz w:val="32"/>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方正仿宋_GBK" w:hAnsi="方正仿宋_GBK" w:eastAsia="方正仿宋_GBK" w:cs="方正仿宋_GBK"/>
      <w:sz w:val="33"/>
      <w:szCs w:val="33"/>
      <w:lang w:val="zh-CN" w:eastAsia="zh-CN" w:bidi="zh-CN"/>
    </w:rPr>
  </w:style>
  <w:style w:type="paragraph" w:styleId="6">
    <w:name w:val="Body Text Indent"/>
    <w:basedOn w:val="1"/>
    <w:qFormat/>
    <w:uiPriority w:val="0"/>
    <w:pPr>
      <w:ind w:firstLine="640" w:firstLineChars="20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font31"/>
    <w:basedOn w:val="10"/>
    <w:qFormat/>
    <w:uiPriority w:val="0"/>
    <w:rPr>
      <w:rFonts w:ascii="方正仿宋_GBK" w:hAnsi="方正仿宋_GBK" w:eastAsia="方正仿宋_GBK" w:cs="方正仿宋_GBK"/>
      <w:color w:val="000000"/>
      <w:sz w:val="24"/>
      <w:szCs w:val="24"/>
      <w:u w:val="none"/>
    </w:r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2308</Words>
  <Characters>2513</Characters>
  <Lines>0</Lines>
  <Paragraphs>0</Paragraphs>
  <TotalTime>6</TotalTime>
  <ScaleCrop>false</ScaleCrop>
  <LinksUpToDate>false</LinksUpToDate>
  <CharactersWithSpaces>2574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2024-10-14T01:49:00Z</dcterms:created>
  <dc:creator>E_psilon</dc:creator>
  <cp:lastModifiedBy>PHLILIPS</cp:lastModifiedBy>
  <cp:lastPrinted>2025-03-18T06:27:54Z</cp:lastPrinted>
  <dcterms:modified xsi:type="dcterms:W3CDTF">2025-03-18T06:31:10Z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5FA47EFE650B473283B61879173EF21C_13</vt:lpwstr>
  </property>
  <property fmtid="{D5CDD505-2E9C-101B-9397-08002B2CF9AE}" pid="4" name="KSOTemplateDocerSaveRecord">
    <vt:lpwstr>eyJoZGlkIjoiNDBmNzZkNjJmOTc3MjFlZTMyNWU2NzE4NzE2MWM3ZWEifQ==</vt:lpwstr>
  </property>
</Properties>
</file>