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ascii="方正黑体_GBK" w:eastAsia="方正黑体_GBK"/>
          <w:b/>
          <w:sz w:val="32"/>
          <w:szCs w:val="32"/>
        </w:rPr>
      </w:pPr>
      <w:bookmarkStart w:id="0" w:name="_GoBack"/>
      <w:bookmarkEnd w:id="0"/>
    </w:p>
    <w:p>
      <w:pPr>
        <w:spacing w:line="760" w:lineRule="exact"/>
        <w:rPr>
          <w:rFonts w:ascii="方正黑体_GBK" w:eastAsia="方正黑体_GBK"/>
          <w:b/>
          <w:sz w:val="32"/>
          <w:szCs w:val="32"/>
        </w:rPr>
      </w:pPr>
    </w:p>
    <w:p>
      <w:pPr>
        <w:spacing w:line="760" w:lineRule="exact"/>
        <w:rPr>
          <w:rFonts w:ascii="方正黑体_GBK" w:eastAsia="方正黑体_GBK"/>
          <w:b/>
          <w:sz w:val="32"/>
          <w:szCs w:val="32"/>
        </w:rPr>
      </w:pPr>
    </w:p>
    <w:p>
      <w:pPr>
        <w:spacing w:line="760" w:lineRule="exact"/>
        <w:rPr>
          <w:rFonts w:ascii="方正黑体_GBK" w:eastAsia="方正黑体_GBK"/>
          <w:b/>
          <w:sz w:val="32"/>
          <w:szCs w:val="32"/>
        </w:rPr>
      </w:pPr>
      <w:r>
        <w:rPr>
          <w:sz w:val="32"/>
          <w:szCs w:val="32"/>
        </w:rPr>
        <w:pict>
          <v:shape id="_x0000_s1027" o:spid="_x0000_s1027" o:spt="136" alt="重庆市开州区厚坝镇人民政府" type="#_x0000_t136" style="position:absolute;left:0pt;margin-left:8.5pt;margin-top:10.2pt;height:53.85pt;width:425.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开州区环境卫生管理中心文件" style="font-family:方正小标宋_GBK;font-size:20pt;v-rotate-letters:f;v-same-letter-heights:f;v-text-align:center;"/>
          </v:shape>
        </w:pict>
      </w:r>
    </w:p>
    <w:p>
      <w:pPr>
        <w:spacing w:line="240" w:lineRule="auto"/>
        <w:rPr>
          <w:rFonts w:hint="eastAsia" w:ascii="仿宋_GB2312" w:eastAsia="仿宋_GB2312"/>
          <w:sz w:val="32"/>
          <w:szCs w:val="32"/>
        </w:rPr>
      </w:pPr>
      <w:r>
        <w:rPr>
          <w:rFonts w:hint="eastAsia" w:ascii="仿宋_GB2312" w:eastAsia="仿宋_GB2312"/>
          <w:sz w:val="32"/>
          <w:szCs w:val="32"/>
        </w:rPr>
        <w:t xml:space="preserve">    </w:t>
      </w:r>
    </w:p>
    <w:p>
      <w:pPr>
        <w:spacing w:line="240" w:lineRule="auto"/>
        <w:rPr>
          <w:rFonts w:hint="default" w:ascii="Times New Roman" w:hAnsi="Times New Roman" w:eastAsia="仿宋_GB2312" w:cs="Times New Roman"/>
          <w:sz w:val="32"/>
          <w:szCs w:val="32"/>
        </w:rPr>
      </w:pPr>
    </w:p>
    <w:p>
      <w:pPr>
        <w:ind w:firstLine="320" w:firstLineChars="100"/>
        <w:jc w:val="left"/>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开</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环卫</w:t>
      </w:r>
      <w:r>
        <w:rPr>
          <w:rFonts w:hint="default" w:ascii="Times New Roman" w:hAnsi="Times New Roman" w:eastAsia="方正仿宋_GBK" w:cs="Times New Roman"/>
          <w:sz w:val="32"/>
          <w:szCs w:val="32"/>
          <w:lang w:eastAsia="zh-CN"/>
        </w:rPr>
        <w:t>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签发人：邹泽军</w:t>
      </w:r>
    </w:p>
    <w:p>
      <w:pPr>
        <w:jc w:val="both"/>
        <w:rPr>
          <w:rFonts w:hint="eastAsia" w:ascii="Times New Roman" w:hAnsi="Times New Roman" w:eastAsia="方正小标宋_GBK" w:cs="方正小标宋_GBK"/>
          <w:spacing w:val="-20"/>
          <w:sz w:val="44"/>
          <w:szCs w:val="44"/>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0"/>
                <wp:effectExtent l="0" t="19050" r="381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42.2pt;z-index:251660288;mso-width-relative:page;mso-height-relative:page;" filled="f" stroked="t" coordsize="21600,21600" o:gfxdata="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ONsb1wAAAAYBAAAPAAAA&#10;AAAAAAEAIAAAACIAAABkcnMvZG93bnJldi54bWxQSwECFAAUAAAACACHTuJAsG5Iet0BAACXAwAA&#10;DgAAAAAAAAABACAAAAAmAQAAZHJzL2Uyb0RvYy54bWxQSwUGAAAAAAYABgBZAQAAdQUAAAAA&#10;">
                <v:fill on="f" focussize="0,0"/>
                <v:stroke weight="3pt" color="#FF0000" joinstyle="round"/>
                <v:imagedata o:title=""/>
                <o:lock v:ext="edit" aspectratio="f"/>
              </v:line>
            </w:pict>
          </mc:Fallback>
        </mc:AlternateContent>
      </w:r>
    </w:p>
    <w:p>
      <w:pPr>
        <w:pStyle w:val="3"/>
        <w:spacing w:line="620" w:lineRule="exact"/>
        <w:ind w:firstLine="0" w:firstLineChars="0"/>
        <w:jc w:val="center"/>
        <w:rPr>
          <w:rFonts w:hint="default" w:ascii="Times New Roman" w:hAnsi="Times New Roman" w:eastAsia="方正小标宋_GBK" w:cs="方正小标宋_GBK"/>
          <w:spacing w:val="-20"/>
          <w:kern w:val="2"/>
          <w:sz w:val="44"/>
          <w:szCs w:val="44"/>
          <w:lang w:val="en-US" w:eastAsia="zh-CN" w:bidi="ar-SA"/>
        </w:rPr>
      </w:pPr>
      <w:r>
        <w:rPr>
          <w:rFonts w:hint="eastAsia" w:ascii="Times New Roman" w:hAnsi="Times New Roman" w:eastAsia="方正小标宋_GBK" w:cs="方正小标宋_GBK"/>
          <w:spacing w:val="-20"/>
          <w:kern w:val="2"/>
          <w:sz w:val="44"/>
          <w:szCs w:val="44"/>
          <w:lang w:val="en-US" w:eastAsia="zh-CN" w:bidi="ar-SA"/>
        </w:rPr>
        <w:t>重庆市开州区环境卫生管理中心</w:t>
      </w:r>
    </w:p>
    <w:p>
      <w:pPr>
        <w:jc w:val="center"/>
        <w:rPr>
          <w:rFonts w:hint="eastAsia" w:ascii="Times New Roman" w:hAnsi="Times New Roman" w:eastAsia="方正小标宋_GBK" w:cs="方正小标宋_GBK"/>
          <w:spacing w:val="-20"/>
          <w:kern w:val="2"/>
          <w:sz w:val="44"/>
          <w:szCs w:val="44"/>
          <w:lang w:val="en-US" w:eastAsia="zh-CN" w:bidi="ar-SA"/>
        </w:rPr>
      </w:pPr>
      <w:r>
        <w:rPr>
          <w:rFonts w:hint="eastAsia" w:ascii="Times New Roman" w:hAnsi="Times New Roman" w:eastAsia="方正小标宋_GBK" w:cs="方正小标宋_GBK"/>
          <w:spacing w:val="-20"/>
          <w:kern w:val="2"/>
          <w:sz w:val="44"/>
          <w:szCs w:val="44"/>
          <w:lang w:val="en-US" w:eastAsia="zh-CN" w:bidi="ar-SA"/>
        </w:rPr>
        <w:t>关于2024年部门预算情况公开的公告</w:t>
      </w:r>
    </w:p>
    <w:p>
      <w:pPr>
        <w:jc w:val="center"/>
        <w:rPr>
          <w:rFonts w:hint="eastAsia" w:ascii="Times New Roman" w:hAnsi="Times New Roman" w:eastAsia="方正小标宋_GBK" w:cs="方正小标宋_GBK"/>
          <w:spacing w:val="-2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按照有关财政预算公开的部署和要求，依据《中华人民共和国政府信息公开条例》（国务院令第492号）和重庆市开州区财政局《关于批复2024年部门预算的通知》（开</w:t>
      </w:r>
      <w:r>
        <w:rPr>
          <w:rFonts w:hint="default" w:ascii="Times New Roman" w:hAnsi="Times New Roman" w:eastAsia="方正仿宋_GBK" w:cs="Times New Roman"/>
          <w:sz w:val="32"/>
          <w:szCs w:val="32"/>
          <w:lang w:val="en-US" w:eastAsia="zh-CN"/>
        </w:rPr>
        <w:t>州</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val="en-US" w:eastAsia="zh-CN"/>
        </w:rPr>
        <w:t>建发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号）,现将</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2024年部门预算批复情况公开如下：</w:t>
      </w: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both"/>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eastAsia" w:ascii="方正小标宋_GBK" w:eastAsia="方正小标宋_GBK"/>
          <w:sz w:val="44"/>
          <w:szCs w:val="44"/>
        </w:rPr>
      </w:pPr>
      <w:r>
        <w:rPr>
          <w:rFonts w:hint="eastAsia" w:ascii="方正小标宋_GBK" w:eastAsia="方正小标宋_GBK"/>
          <w:sz w:val="44"/>
          <w:szCs w:val="44"/>
        </w:rPr>
        <w:t>目    录</w:t>
      </w: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pPr>
      <w:r>
        <w:rPr>
          <w:rFonts w:hint="eastAsia" w:ascii="方正黑体_GBK" w:hAnsi="方正黑体_GBK" w:eastAsia="方正黑体_GBK" w:cs="方正黑体_GBK"/>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方正黑体_GBK" w:hAnsi="方正黑体_GBK" w:eastAsia="方正黑体_GBK" w:cs="方正黑体_GBK"/>
          <w:sz w:val="32"/>
          <w:szCs w:val="32"/>
        </w:rPr>
      </w:pPr>
      <w:r>
        <w:rPr>
          <w:rFonts w:eastAsia="方正仿宋_GBK"/>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pPr>
      <w:r>
        <w:rPr>
          <w:rFonts w:hint="eastAsia" w:ascii="方正黑体_GBK" w:hAnsi="方正黑体_GBK" w:eastAsia="方正黑体_GBK" w:cs="方正黑体_GBK"/>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r>
        <w:rPr>
          <w:rFonts w:eastAsia="方正仿宋_GBK"/>
          <w:sz w:val="32"/>
          <w:szCs w:val="32"/>
        </w:rPr>
        <w:t>表</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hint="default" w:ascii="Times New Roman" w:hAnsi="Times New Roman" w:eastAsia="方正仿宋_GBK" w:cs="Times New Roman"/>
          <w:sz w:val="32"/>
          <w:szCs w:val="32"/>
        </w:rPr>
        <w:t>表4、</w:t>
      </w:r>
      <w:r>
        <w:rPr>
          <w:rFonts w:hint="eastAsia" w:eastAsia="方正仿宋_GBK"/>
          <w:sz w:val="32"/>
          <w:szCs w:val="32"/>
          <w:lang w:val="en-US" w:eastAsia="zh-CN"/>
        </w:rPr>
        <w:t>重庆市开州区环境卫生管理中心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重庆市开州区环境卫生管理中心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重庆市开州区环境卫生管理中心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重庆市开州区环境卫生管理中心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r>
        <w:rPr>
          <w:rFonts w:eastAsia="方正仿宋_GBK"/>
          <w:sz w:val="32"/>
          <w:szCs w:val="32"/>
        </w:rPr>
        <w:t>表</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重庆市开州区环境卫生管理中心</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方正仿宋_GBK"/>
          <w:sz w:val="32"/>
          <w:szCs w:val="32"/>
        </w:rPr>
      </w:pPr>
      <w:r>
        <w:rPr>
          <w:rFonts w:hint="default" w:ascii="Times New Roman" w:hAnsi="Times New Roman" w:eastAsia="方正仿宋_GBK" w:cs="Times New Roman"/>
          <w:sz w:val="32"/>
          <w:szCs w:val="32"/>
        </w:rPr>
        <w:t>表10、</w:t>
      </w:r>
      <w:r>
        <w:rPr>
          <w:rFonts w:hint="eastAsia" w:eastAsia="方正仿宋_GBK"/>
          <w:sz w:val="32"/>
          <w:szCs w:val="32"/>
          <w:lang w:val="en-US" w:eastAsia="zh-CN"/>
        </w:rPr>
        <w:t>重庆市开州区环境卫生管理中心</w:t>
      </w:r>
      <w:r>
        <w:rPr>
          <w:rFonts w:eastAsia="方正仿宋_GBK"/>
          <w:sz w:val="32"/>
          <w:szCs w:val="32"/>
        </w:rPr>
        <w:t>项目支出表</w:t>
      </w:r>
    </w:p>
    <w:p>
      <w:pPr>
        <w:keepNext w:val="0"/>
        <w:keepLines w:val="0"/>
        <w:pageBreakBefore w:val="0"/>
        <w:widowControl w:val="0"/>
        <w:kinsoku/>
        <w:wordWrap/>
        <w:overflowPunct/>
        <w:topLinePunct w:val="0"/>
        <w:autoSpaceDE/>
        <w:autoSpaceDN/>
        <w:bidi w:val="0"/>
        <w:adjustRightInd/>
        <w:snapToGrid/>
        <w:spacing w:line="594" w:lineRule="atLeast"/>
        <w:textAlignment w:val="auto"/>
      </w:pPr>
      <w:r>
        <w:rPr>
          <w:rFonts w:hint="default" w:ascii="Times New Roman" w:hAnsi="Times New Roman" w:eastAsia="方正仿宋_GBK" w:cs="Times New Roman"/>
          <w:sz w:val="32"/>
          <w:szCs w:val="32"/>
        </w:rPr>
        <w:t>表1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eastAsia="方正仿宋_GBK"/>
          <w:sz w:val="32"/>
          <w:szCs w:val="32"/>
          <w:lang w:val="en-US" w:eastAsia="zh-CN"/>
        </w:rPr>
        <w:t>重庆市开州区环境卫生管理中心</w:t>
      </w:r>
      <w:r>
        <w:rPr>
          <w:rFonts w:eastAsia="方正仿宋_GBK"/>
          <w:sz w:val="32"/>
          <w:szCs w:val="32"/>
        </w:rPr>
        <w:t>项目</w:t>
      </w:r>
      <w:r>
        <w:rPr>
          <w:rFonts w:hint="eastAsia" w:eastAsia="方正仿宋_GBK"/>
          <w:sz w:val="32"/>
          <w:szCs w:val="32"/>
          <w:lang w:val="en-US" w:eastAsia="zh-CN"/>
        </w:rPr>
        <w:t>绩效目标</w:t>
      </w:r>
      <w:r>
        <w:rPr>
          <w:rFonts w:eastAsia="方正仿宋_GBK"/>
          <w:sz w:val="32"/>
          <w:szCs w:val="32"/>
        </w:rPr>
        <w:t>表</w:t>
      </w: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textAlignment w:val="auto"/>
      </w:pP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eastAsia="方正小标宋_GBK"/>
          <w:sz w:val="44"/>
          <w:szCs w:val="44"/>
        </w:rPr>
      </w:pPr>
      <w:r>
        <w:rPr>
          <w:rFonts w:eastAsia="方正小标宋_GBK"/>
          <w:sz w:val="44"/>
          <w:szCs w:val="44"/>
        </w:rPr>
        <w:br w:type="page"/>
      </w:r>
      <w:r>
        <w:rPr>
          <w:rFonts w:hint="eastAsia" w:eastAsia="方正小标宋_GBK"/>
          <w:sz w:val="44"/>
          <w:szCs w:val="44"/>
        </w:rPr>
        <w:t>第一部分：</w:t>
      </w:r>
      <w:r>
        <w:rPr>
          <w:rFonts w:hint="default" w:ascii="Times New Roman" w:hAnsi="Times New Roman" w:eastAsia="方正小标宋_GBK" w:cs="Times New Roman"/>
          <w:sz w:val="44"/>
          <w:szCs w:val="44"/>
        </w:rPr>
        <w:t>2024</w:t>
      </w:r>
      <w:r>
        <w:rPr>
          <w:rFonts w:hint="eastAsia" w:eastAsia="方正小标宋_GBK"/>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594" w:lineRule="atLeast"/>
        <w:ind w:firstLine="880" w:firstLineChars="200"/>
        <w:jc w:val="center"/>
        <w:textAlignment w:val="auto"/>
        <w:rPr>
          <w:rFonts w:eastAsia="华文中宋"/>
          <w:sz w:val="44"/>
          <w:szCs w:val="44"/>
        </w:rPr>
      </w:pPr>
    </w:p>
    <w:p>
      <w:pPr>
        <w:keepNext w:val="0"/>
        <w:keepLines w:val="0"/>
        <w:pageBreakBefore w:val="0"/>
        <w:widowControl w:val="0"/>
        <w:kinsoku/>
        <w:wordWrap/>
        <w:overflowPunct/>
        <w:topLinePunct w:val="0"/>
        <w:autoSpaceDE/>
        <w:autoSpaceDN/>
        <w:bidi w:val="0"/>
        <w:adjustRightInd/>
        <w:snapToGrid/>
        <w:spacing w:line="594" w:lineRule="atLeast"/>
        <w:ind w:left="640"/>
        <w:textAlignment w:val="auto"/>
        <w:rPr>
          <w:rFonts w:eastAsia="方正黑体_GBK"/>
          <w:sz w:val="32"/>
        </w:rPr>
      </w:pPr>
      <w:r>
        <w:rPr>
          <w:rFonts w:eastAsia="方正黑体_GBK"/>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方正楷体_GBK" w:eastAsia="方正楷体_GBK"/>
          <w:sz w:val="32"/>
        </w:rPr>
      </w:pPr>
      <w:r>
        <w:rPr>
          <w:rFonts w:hint="eastAsia" w:ascii="方正楷体_GBK" w:eastAsia="方正楷体_GBK"/>
          <w:sz w:val="32"/>
        </w:rPr>
        <w:t>（一）职能职责</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1. 负责城市环境卫生设施建设、运营和维护。城区公厕、 垃圾中转站、果皮箱等环卫设施的规划、建设、管理及养(维)护等事务工作。</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2. 负责城市环境卫生作业管理。城区主次干道及背街小巷 责任区域清扫保洁、建筑垃圾管理、生活垃圾清运、餐厨垃圾收运、汉丰湖及三峡库区澎溪河开州段水域垃圾清漂；城区垃圾处置费征收的事务工作；城区洒水降尘、机扫冲洗；督促城区公共厕所(社会单位)粪便处理设施登记建卡。</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3. 指导城乡环境卫生设施建设、环境卫生管理、垃圾分类工作。</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4. 协助主管部门做好城区市容环卫责任单位监督考核工作。</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5. 负责环境卫生社会宣传教育,提高公民环境卫生意识。</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方正楷体_GBK" w:eastAsia="方正楷体_GBK"/>
          <w:sz w:val="32"/>
        </w:rPr>
      </w:pPr>
      <w:r>
        <w:rPr>
          <w:rFonts w:hint="eastAsia" w:ascii="方正楷体_GBK" w:eastAsia="方正楷体_GBK"/>
          <w:sz w:val="32"/>
        </w:rPr>
        <w:t>（二）单位构成</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我</w:t>
      </w:r>
      <w:r>
        <w:rPr>
          <w:rFonts w:hint="eastAsia" w:ascii="方正仿宋_GBK" w:hAnsi="方正仿宋_GBK" w:eastAsia="方正仿宋_GBK" w:cs="方正仿宋_GBK"/>
          <w:sz w:val="32"/>
        </w:rPr>
        <w:t>单位</w:t>
      </w:r>
      <w:r>
        <w:rPr>
          <w:rFonts w:hint="eastAsia" w:ascii="方正仿宋_GBK" w:hAnsi="方正仿宋_GBK" w:eastAsia="方正仿宋_GBK" w:cs="方正仿宋_GBK"/>
          <w:sz w:val="32"/>
          <w:lang w:val="en-US" w:eastAsia="zh-CN"/>
        </w:rPr>
        <w:t>内</w:t>
      </w:r>
      <w:r>
        <w:rPr>
          <w:rFonts w:hint="eastAsia" w:ascii="方正仿宋_GBK" w:hAnsi="方正仿宋_GBK" w:eastAsia="方正仿宋_GBK" w:cs="方正仿宋_GBK"/>
          <w:sz w:val="32"/>
        </w:rPr>
        <w:t>设</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室</w:t>
      </w:r>
      <w:r>
        <w:rPr>
          <w:rFonts w:hint="eastAsia" w:ascii="方正仿宋_GBK" w:hAnsi="方正仿宋_GBK" w:eastAsia="方正仿宋_GBK" w:cs="方正仿宋_GBK"/>
          <w:sz w:val="32"/>
          <w:lang w:eastAsia="zh-CN"/>
        </w:rPr>
        <w:t>三</w:t>
      </w:r>
      <w:r>
        <w:rPr>
          <w:rFonts w:hint="eastAsia" w:ascii="方正仿宋_GBK" w:hAnsi="方正仿宋_GBK" w:eastAsia="方正仿宋_GBK" w:cs="方正仿宋_GBK"/>
          <w:sz w:val="32"/>
        </w:rPr>
        <w:t>所，即办公室</w:t>
      </w:r>
      <w:r>
        <w:rPr>
          <w:rFonts w:hint="eastAsia" w:ascii="方正仿宋_GBK" w:hAnsi="方正仿宋_GBK" w:eastAsia="方正仿宋_GBK" w:cs="方正仿宋_GBK"/>
          <w:sz w:val="32"/>
          <w:lang w:eastAsia="zh-CN"/>
        </w:rPr>
        <w:t>、清扫保洁所、</w:t>
      </w:r>
      <w:r>
        <w:rPr>
          <w:rFonts w:hint="eastAsia" w:ascii="方正仿宋_GBK" w:hAnsi="方正仿宋_GBK" w:eastAsia="方正仿宋_GBK" w:cs="方正仿宋_GBK"/>
          <w:sz w:val="32"/>
        </w:rPr>
        <w:t>清运所、水域</w:t>
      </w:r>
      <w:r>
        <w:rPr>
          <w:rFonts w:hint="eastAsia" w:ascii="方正仿宋_GBK" w:hAnsi="方正仿宋_GBK" w:eastAsia="方正仿宋_GBK" w:cs="方正仿宋_GBK"/>
          <w:sz w:val="32"/>
          <w:lang w:eastAsia="zh-CN"/>
        </w:rPr>
        <w:t>环境卫生</w:t>
      </w:r>
      <w:r>
        <w:rPr>
          <w:rFonts w:hint="eastAsia" w:ascii="方正仿宋_GBK" w:hAnsi="方正仿宋_GBK" w:eastAsia="方正仿宋_GBK" w:cs="方正仿宋_GBK"/>
          <w:sz w:val="32"/>
        </w:rPr>
        <w:t>所。</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eastAsia="方正仿宋_GBK"/>
          <w:sz w:val="32"/>
        </w:rPr>
      </w:pPr>
      <w:r>
        <w:rPr>
          <w:rFonts w:eastAsia="方正黑体_GBK"/>
          <w:sz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rPr>
      </w:pPr>
      <w:r>
        <w:rPr>
          <w:rFonts w:hint="eastAsia" w:ascii="方正楷体_GBK" w:eastAsia="方正楷体_GBK"/>
          <w:sz w:val="32"/>
        </w:rPr>
        <w:t>（一）收入预算：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81.7</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31.35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城乡社区支出预算455.53万元，</w:t>
      </w:r>
      <w:r>
        <w:rPr>
          <w:rFonts w:hint="default" w:ascii="Times New Roman" w:hAnsi="Times New Roman" w:eastAsia="方正仿宋_GBK" w:cs="Times New Roman"/>
          <w:sz w:val="32"/>
        </w:rPr>
        <w:t>住房保障支出预算</w:t>
      </w:r>
      <w:r>
        <w:rPr>
          <w:rFonts w:hint="default" w:ascii="Times New Roman" w:hAnsi="Times New Roman" w:eastAsia="方正仿宋_GBK" w:cs="Times New Roman"/>
          <w:sz w:val="32"/>
          <w:lang w:val="en-US" w:eastAsia="zh-CN"/>
        </w:rPr>
        <w:t>30.5</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atLeast"/>
        <w:ind w:left="64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万元，按上级政策要求，预算单位要严格按“三定”方案设置，我部门为2024年新设置预算单位，无法与上年同期数进行比较。其中：基本支出</w:t>
      </w:r>
      <w:r>
        <w:rPr>
          <w:rFonts w:hint="default" w:ascii="Times New Roman" w:hAnsi="Times New Roman" w:eastAsia="方正仿宋_GBK" w:cs="Times New Roman"/>
          <w:sz w:val="32"/>
          <w:lang w:val="en-US" w:eastAsia="zh-CN"/>
        </w:rPr>
        <w:t>599.08</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我</w:t>
      </w:r>
      <w:r>
        <w:rPr>
          <w:rFonts w:hint="default" w:ascii="Times New Roman" w:hAnsi="Times New Roman" w:eastAsia="方正仿宋_GBK" w:cs="Times New Roman"/>
          <w:sz w:val="32"/>
          <w:lang w:val="en-US" w:eastAsia="zh-CN"/>
        </w:rPr>
        <w:t>单位</w:t>
      </w:r>
      <w:r>
        <w:rPr>
          <w:rFonts w:hint="default" w:ascii="Times New Roman" w:hAnsi="Times New Roman" w:eastAsia="方正仿宋_GBK" w:cs="Times New Roman"/>
          <w:sz w:val="32"/>
        </w:rPr>
        <w:t>2024年无使用政府性基金预算拨款安排的支出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64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万元，按上级政策要求，预算单位要严格按“三定”方案设置，我部门为2024年新设置预算单位，无法与上年同期数进</w:t>
      </w:r>
      <w:r>
        <w:rPr>
          <w:rFonts w:hint="default" w:ascii="Times New Roman" w:hAnsi="Times New Roman" w:eastAsia="方正仿宋_GBK" w:cs="Times New Roman"/>
          <w:sz w:val="32"/>
          <w:szCs w:val="32"/>
        </w:rPr>
        <w:t>行比较。其中：因公出国（境）费用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万元；公务用车运行维护费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万元，；公务用车购置费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atLeas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2.政府采购情况。</w:t>
      </w:r>
      <w:r>
        <w:rPr>
          <w:rFonts w:hint="default" w:ascii="Times New Roman" w:hAnsi="Times New Roman" w:eastAsia="方正仿宋_GBK" w:cs="Times New Roman"/>
          <w:sz w:val="32"/>
          <w:szCs w:val="32"/>
          <w:lang w:val="en-US" w:eastAsia="zh-CN"/>
        </w:rPr>
        <w:t>我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绩效目标设置情况。本单位无相关收支</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国有资产占有使用情况。</w:t>
      </w: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2023年12月，我单位共有车辆0辆，其中</w:t>
      </w:r>
      <w:r>
        <w:rPr>
          <w:rFonts w:hint="default" w:ascii="Times New Roman" w:hAnsi="Times New Roman" w:eastAsia="方正仿宋_GBK" w:cs="Times New Roman"/>
          <w:color w:val="000000"/>
          <w:sz w:val="32"/>
          <w:szCs w:val="32"/>
        </w:rPr>
        <w:t>一般公务用车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辆、执勤执法用车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辆。2024年一般公共预算安排购置车辆</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辆，其中一般公务用车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辆、执勤执法用车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atLeas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六、专业性名词解释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atLeas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atLeas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atLeas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atLeas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仿宋_GBK" w:cs="Times New Roman"/>
          <w:sz w:val="32"/>
          <w:szCs w:val="32"/>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w:t>
      </w:r>
      <w:r>
        <w:rPr>
          <w:rFonts w:hint="default" w:ascii="Times New Roman" w:hAnsi="Times New Roman" w:eastAsia="方正小标宋_GBK" w:cs="Times New Roman"/>
          <w:sz w:val="44"/>
          <w:szCs w:val="44"/>
        </w:rPr>
        <w:t>2024</w:t>
      </w:r>
      <w:r>
        <w:rPr>
          <w:rFonts w:hint="eastAsia" w:eastAsia="方正小标宋_GBK"/>
          <w:sz w:val="44"/>
          <w:szCs w:val="44"/>
        </w:rPr>
        <w:t>年部门预算公开报表</w:t>
      </w:r>
    </w:p>
    <w:p>
      <w:pPr>
        <w:ind w:firstLine="640" w:firstLineChars="200"/>
        <w:rPr>
          <w:rFonts w:hint="eastAsia" w:eastAsia="方正黑体_GBK"/>
          <w:sz w:val="32"/>
        </w:rPr>
      </w:pPr>
    </w:p>
    <w:p>
      <w:pPr>
        <w:ind w:firstLine="640" w:firstLineChars="200"/>
        <w:rPr>
          <w:rFonts w:hint="eastAsia" w:ascii="方正黑体_GBK" w:hAnsi="方正黑体_GBK" w:eastAsia="方正黑体_GBK" w:cs="方正黑体_GBK"/>
          <w:sz w:val="32"/>
        </w:rPr>
      </w:pPr>
      <w:r>
        <w:rPr>
          <w:rFonts w:hint="default" w:ascii="Times New Roman" w:hAnsi="Times New Roman" w:eastAsia="方正黑体_GBK" w:cs="Times New Roman"/>
          <w:sz w:val="32"/>
        </w:rPr>
        <w:t>2024年部门预算公开报表（详见附表</w:t>
      </w:r>
      <w:r>
        <w:rPr>
          <w:rFonts w:hint="default" w:ascii="Times New Roman" w:hAnsi="Times New Roman" w:eastAsia="方正黑体_GBK" w:cs="Times New Roman"/>
          <w:sz w:val="32"/>
          <w:lang w:val="en-US" w:eastAsia="zh-CN"/>
        </w:rPr>
        <w:t>重庆市开州区环境卫生管理中心</w:t>
      </w:r>
      <w:r>
        <w:rPr>
          <w:rFonts w:hint="default" w:ascii="Times New Roman" w:hAnsi="Times New Roman" w:eastAsia="方正黑体_GBK" w:cs="Times New Roman"/>
          <w:sz w:val="32"/>
        </w:rPr>
        <w:t>2024年</w:t>
      </w:r>
      <w:r>
        <w:rPr>
          <w:rFonts w:hint="eastAsia" w:ascii="方正黑体_GBK" w:hAnsi="方正黑体_GBK" w:eastAsia="方正黑体_GBK" w:cs="方正黑体_GBK"/>
          <w:sz w:val="32"/>
        </w:rPr>
        <w:t>部门预算公开报表）</w:t>
      </w:r>
    </w:p>
    <w:p>
      <w:pPr>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rPr>
        <w:t>部门预算公开联系人：</w:t>
      </w:r>
      <w:r>
        <w:rPr>
          <w:rFonts w:hint="eastAsia" w:ascii="方正楷体_GBK" w:hAnsi="方正楷体_GBK" w:eastAsia="方正楷体_GBK" w:cs="方正楷体_GBK"/>
          <w:b w:val="0"/>
          <w:bCs/>
          <w:sz w:val="32"/>
          <w:lang w:val="en-US" w:eastAsia="zh-CN"/>
        </w:rPr>
        <w:t>向攀</w:t>
      </w:r>
      <w:r>
        <w:rPr>
          <w:rFonts w:hint="eastAsia" w:ascii="方正楷体_GBK" w:hAnsi="方正楷体_GBK" w:eastAsia="方正楷体_GBK" w:cs="方正楷体_GBK"/>
          <w:b w:val="0"/>
          <w:bCs/>
          <w:sz w:val="32"/>
        </w:rPr>
        <w:t xml:space="preserve">  联系方式：</w:t>
      </w:r>
      <w:r>
        <w:rPr>
          <w:rFonts w:hint="default" w:ascii="Times New Roman" w:hAnsi="Times New Roman" w:eastAsia="方正楷体_GBK" w:cs="Times New Roman"/>
          <w:b w:val="0"/>
          <w:bCs/>
          <w:sz w:val="32"/>
        </w:rPr>
        <w:t>023-</w:t>
      </w:r>
      <w:r>
        <w:rPr>
          <w:rFonts w:hint="default" w:ascii="Times New Roman" w:hAnsi="Times New Roman" w:eastAsia="方正楷体_GBK" w:cs="Times New Roman"/>
          <w:b w:val="0"/>
          <w:bCs/>
          <w:sz w:val="32"/>
          <w:lang w:val="en-US" w:eastAsia="zh-CN"/>
        </w:rPr>
        <w:t>52688021</w:t>
      </w:r>
    </w:p>
    <w:p>
      <w:pPr>
        <w:spacing w:line="540" w:lineRule="exact"/>
        <w:jc w:val="both"/>
        <w:rPr>
          <w:rFonts w:hint="default" w:eastAsia="方正小标宋_GBK"/>
          <w:sz w:val="44"/>
          <w:szCs w:val="44"/>
          <w:lang w:val="en-US" w:eastAsia="zh-CN"/>
        </w:rPr>
      </w:pPr>
    </w:p>
    <w:p>
      <w:pPr>
        <w:spacing w:line="540" w:lineRule="exact"/>
        <w:jc w:val="both"/>
        <w:rPr>
          <w:rFonts w:hint="default" w:eastAsia="方正小标宋_GBK"/>
          <w:sz w:val="44"/>
          <w:szCs w:val="44"/>
          <w:lang w:val="en-US" w:eastAsia="zh-CN"/>
        </w:rPr>
      </w:pPr>
    </w:p>
    <w:p>
      <w:pPr>
        <w:spacing w:line="540" w:lineRule="exact"/>
        <w:jc w:val="both"/>
        <w:rPr>
          <w:rFonts w:hint="default" w:eastAsia="方正小标宋_GBK"/>
          <w:sz w:val="44"/>
          <w:szCs w:val="44"/>
          <w:lang w:val="en-US" w:eastAsia="zh-CN"/>
        </w:rPr>
      </w:pPr>
    </w:p>
    <w:p>
      <w:pPr>
        <w:spacing w:line="540" w:lineRule="exact"/>
        <w:jc w:val="both"/>
        <w:rPr>
          <w:rFonts w:hint="default" w:eastAsia="方正小标宋_GBK"/>
          <w:sz w:val="44"/>
          <w:szCs w:val="44"/>
          <w:lang w:val="en-US" w:eastAsia="zh-CN"/>
        </w:rPr>
      </w:pPr>
    </w:p>
    <w:p>
      <w:pPr>
        <w:spacing w:line="594" w:lineRule="exact"/>
        <w:ind w:firstLine="880" w:firstLineChars="200"/>
        <w:rPr>
          <w:rFonts w:hint="eastAsia" w:ascii="方正仿宋_GBK" w:hAnsi="方正仿宋_GBK" w:eastAsia="方正仿宋_GBK" w:cs="方正仿宋_GBK"/>
          <w:bCs/>
          <w:sz w:val="32"/>
          <w:szCs w:val="32"/>
          <w:lang w:val="en-US" w:eastAsia="zh-CN"/>
        </w:rPr>
      </w:pPr>
      <w:r>
        <w:rPr>
          <w:rFonts w:hint="eastAsia" w:eastAsia="方正小标宋_GBK"/>
          <w:sz w:val="44"/>
          <w:szCs w:val="44"/>
          <w:lang w:val="en-US" w:eastAsia="zh-CN"/>
        </w:rPr>
        <w:t xml:space="preserve">             </w:t>
      </w:r>
      <w:r>
        <w:rPr>
          <w:rFonts w:hint="eastAsia" w:ascii="方正仿宋_GBK" w:hAnsi="方正仿宋_GBK" w:eastAsia="方正仿宋_GBK" w:cs="方正仿宋_GBK"/>
          <w:bCs/>
          <w:sz w:val="32"/>
          <w:szCs w:val="32"/>
          <w:lang w:val="en-US" w:eastAsia="zh-CN"/>
        </w:rPr>
        <w:t>重庆市开州区环境卫生管理中心</w:t>
      </w:r>
    </w:p>
    <w:p>
      <w:pPr>
        <w:spacing w:line="594" w:lineRule="exact"/>
        <w:ind w:firstLine="640" w:firstLineChars="200"/>
        <w:rPr>
          <w:rFonts w:hint="default"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bCs/>
          <w:sz w:val="32"/>
          <w:szCs w:val="32"/>
          <w:lang w:val="en-US" w:eastAsia="zh-CN"/>
        </w:rPr>
        <w:t xml:space="preserve">                           </w:t>
      </w:r>
      <w:r>
        <w:rPr>
          <w:rFonts w:hint="default" w:ascii="Times New Roman" w:hAnsi="Times New Roman" w:eastAsia="方正仿宋_GBK" w:cs="Times New Roman"/>
          <w:bCs/>
          <w:sz w:val="32"/>
          <w:szCs w:val="32"/>
          <w:lang w:val="en-US" w:eastAsia="zh-CN"/>
        </w:rPr>
        <w:t>2024年</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21</w:t>
      </w:r>
      <w:r>
        <w:rPr>
          <w:rFonts w:hint="default" w:ascii="Times New Roman" w:hAnsi="Times New Roman" w:eastAsia="方正仿宋_GBK" w:cs="Times New Roman"/>
          <w:bCs/>
          <w:sz w:val="32"/>
          <w:szCs w:val="32"/>
          <w:lang w:val="en-US" w:eastAsia="zh-CN"/>
        </w:rPr>
        <w:t>日</w:t>
      </w:r>
    </w:p>
    <w:p>
      <w:pPr>
        <w:rPr>
          <w:rFonts w:hint="eastAsia" w:ascii="Times New Roman" w:hAnsi="Times New Roman" w:eastAsia="方正黑体_GBK" w:cs="方正黑体_GBK"/>
          <w:sz w:val="32"/>
          <w:szCs w:val="32"/>
          <w:lang w:val="en-US" w:eastAsia="zh-CN"/>
        </w:rPr>
      </w:pPr>
    </w:p>
    <w:p>
      <w:pPr>
        <w:spacing w:line="540" w:lineRule="exact"/>
        <w:jc w:val="both"/>
        <w:rPr>
          <w:rFonts w:hint="default" w:eastAsia="方正小标宋_GBK"/>
          <w:sz w:val="44"/>
          <w:szCs w:val="44"/>
          <w:lang w:val="en-US" w:eastAsia="zh-CN"/>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00" w:lineRule="exact"/>
        <w:rPr>
          <w:rFonts w:eastAsia="方正黑体_GBK"/>
          <w:sz w:val="32"/>
          <w:szCs w:val="32"/>
        </w:rPr>
      </w:pPr>
    </w:p>
    <w:p>
      <w:pPr>
        <w:pStyle w:val="2"/>
        <w:rPr>
          <w:rFonts w:hint="eastAsia"/>
          <w:lang w:eastAsia="zh-CN"/>
        </w:rPr>
      </w:pPr>
    </w:p>
    <w:p>
      <w:pPr>
        <w:pBdr>
          <w:top w:val="single" w:color="auto" w:sz="4" w:space="0"/>
          <w:bottom w:val="single" w:color="auto" w:sz="4" w:space="0"/>
        </w:pBdr>
        <w:spacing w:line="640" w:lineRule="exact"/>
      </w:pPr>
      <w:r>
        <w:rPr>
          <w:rFonts w:hint="default" w:ascii="Times New Roman" w:hAnsi="Times New Roman" w:eastAsia="方正仿宋_GBK" w:cs="Times New Roman"/>
          <w:sz w:val="28"/>
          <w:szCs w:val="28"/>
          <w:lang w:val="en-US" w:eastAsia="zh-CN"/>
        </w:rPr>
        <w:t>重庆市开州区环境卫生管理中心            2024年3月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OWI0MGU2Mzc4MDY4NmI3YjY0NWVlYzc1YjRmZmUifQ=="/>
  </w:docVars>
  <w:rsids>
    <w:rsidRoot w:val="0D3637FA"/>
    <w:rsid w:val="02333DBA"/>
    <w:rsid w:val="06782EF1"/>
    <w:rsid w:val="0D3637FA"/>
    <w:rsid w:val="10D878ED"/>
    <w:rsid w:val="21AA2418"/>
    <w:rsid w:val="26B833A4"/>
    <w:rsid w:val="33202DDB"/>
    <w:rsid w:val="33C86F17"/>
    <w:rsid w:val="354B1AF8"/>
    <w:rsid w:val="3AFA2F1D"/>
    <w:rsid w:val="3C547E78"/>
    <w:rsid w:val="764E6D13"/>
    <w:rsid w:val="791370ED"/>
    <w:rsid w:val="7D32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2024-03-06T03:45:00Z</dcterms:created>
  <dc:creator>环卫中心</dc:creator>
  <cp:lastModifiedBy>张雷</cp:lastModifiedBy>
  <cp:lastPrinted>2024-03-06T07:14:00Z</cp:lastPrinted>
  <dcterms:modified xsi:type="dcterms:W3CDTF">2024-03-29T06:42:19Z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E01762FB200A404AACADA7B4D7F7CAFC_11</vt:lpwstr>
  </property>
</Properties>
</file>