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eastAsia="黑体"/>
          <w:spacing w:val="-20"/>
          <w:sz w:val="36"/>
          <w:highlight w:val="none"/>
        </w:rPr>
      </w:pPr>
    </w:p>
    <w:p>
      <w:pPr>
        <w:jc w:val="distribute"/>
        <w:rPr>
          <w:rFonts w:hint="eastAsia" w:eastAsia="方正小标宋_GBK"/>
          <w:color w:val="FF0000"/>
          <w:spacing w:val="-57"/>
          <w:w w:val="50"/>
          <w:sz w:val="134"/>
          <w:szCs w:val="134"/>
          <w:lang w:eastAsia="zh-CN"/>
        </w:rPr>
      </w:pPr>
      <w:r>
        <w:rPr>
          <w:rFonts w:hint="eastAsia" w:eastAsia="方正小标宋_GBK"/>
          <w:color w:val="FF0000"/>
          <w:spacing w:val="-57"/>
          <w:w w:val="50"/>
          <w:sz w:val="134"/>
          <w:szCs w:val="134"/>
          <w:lang w:eastAsia="zh-CN"/>
        </w:rPr>
        <w:t>重庆市开州区人防指挥信息保障中心</w:t>
      </w:r>
    </w:p>
    <w:p>
      <w:pPr>
        <w:jc w:val="distribute"/>
        <w:rPr>
          <w:rFonts w:hint="eastAsia" w:eastAsia="方正小标宋_GBK"/>
          <w:color w:val="FF0000"/>
          <w:spacing w:val="-57"/>
          <w:w w:val="50"/>
          <w:sz w:val="112"/>
          <w:szCs w:val="112"/>
          <w:lang w:eastAsia="zh-CN"/>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人防文</w:t>
      </w:r>
      <w:r>
        <w:rPr>
          <w:rFonts w:eastAsia="方正仿宋_GBK"/>
          <w:color w:val="000000"/>
          <w:sz w:val="32"/>
          <w:szCs w:val="32"/>
        </w:rPr>
        <w:t>〔202</w:t>
      </w:r>
      <w:r>
        <w:rPr>
          <w:rFonts w:hint="eastAsia" w:eastAsia="方正仿宋_GBK"/>
          <w:color w:val="000000"/>
          <w:sz w:val="32"/>
          <w:szCs w:val="32"/>
          <w:lang w:val="en-US" w:eastAsia="zh-CN"/>
        </w:rPr>
        <w:t>5</w:t>
      </w:r>
      <w:r>
        <w:rPr>
          <w:rFonts w:eastAsia="方正仿宋_GBK"/>
          <w:color w:val="000000"/>
          <w:sz w:val="32"/>
          <w:szCs w:val="32"/>
        </w:rPr>
        <w:t>〕</w:t>
      </w:r>
      <w:r>
        <w:rPr>
          <w:rFonts w:hint="eastAsia" w:eastAsia="方正仿宋_GBK"/>
          <w:sz w:val="32"/>
          <w:szCs w:val="32"/>
          <w:lang w:val="en-US" w:eastAsia="zh-CN"/>
        </w:rPr>
        <w:t>1</w:t>
      </w:r>
      <w:r>
        <w:rPr>
          <w:rFonts w:eastAsia="方正仿宋_GBK"/>
          <w:sz w:val="32"/>
        </w:rPr>
        <w:t>号               签发人：</w:t>
      </w:r>
      <w:r>
        <w:rPr>
          <w:rFonts w:hint="eastAsia" w:eastAsia="方正仿宋_GBK"/>
          <w:sz w:val="32"/>
          <w:lang w:val="en-US" w:eastAsia="zh-CN"/>
        </w:rPr>
        <w:t>张英</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简体"/>
          <w:sz w:val="44"/>
          <w:szCs w:val="44"/>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color w:val="000000"/>
          <w:sz w:val="44"/>
          <w:szCs w:val="44"/>
          <w:highlight w:val="none"/>
          <w:lang w:eastAsia="zh-CN"/>
        </w:rPr>
        <w:t>重庆市开州区人防指挥信息保障中心</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年部门预算情况公开的公告</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按照有关财政预算公开的部署和要求，依据《中华人民共和国政府信息公开条例》（国务院令第492号）和重庆市开州区</w:t>
      </w:r>
      <w:r>
        <w:rPr>
          <w:rFonts w:hint="eastAsia" w:eastAsia="方正仿宋_GBK" w:cs="Times New Roman"/>
          <w:sz w:val="32"/>
          <w:szCs w:val="32"/>
          <w:highlight w:val="none"/>
          <w:lang w:eastAsia="zh-CN"/>
        </w:rPr>
        <w:t>发展和改革委员会</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转下达重庆市开州区发展和改革委员会（本级）</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年部门预算的通知》（</w:t>
      </w:r>
      <w:r>
        <w:rPr>
          <w:rFonts w:hint="default" w:ascii="Times New Roman" w:hAnsi="Times New Roman" w:eastAsia="方正仿宋_GBK" w:cs="Times New Roman"/>
          <w:sz w:val="32"/>
          <w:szCs w:val="32"/>
          <w:highlight w:val="none"/>
          <w:lang w:eastAsia="zh-CN"/>
        </w:rPr>
        <w:t>开州</w:t>
      </w:r>
      <w:r>
        <w:rPr>
          <w:rFonts w:hint="eastAsia" w:eastAsia="方正仿宋_GBK" w:cs="Times New Roman"/>
          <w:sz w:val="32"/>
          <w:szCs w:val="32"/>
          <w:highlight w:val="none"/>
          <w:lang w:eastAsia="zh-CN"/>
        </w:rPr>
        <w:t>发改文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26</w:t>
      </w:r>
      <w:r>
        <w:rPr>
          <w:rFonts w:hint="default" w:ascii="Times New Roman" w:hAnsi="Times New Roman" w:eastAsia="方正仿宋_GBK" w:cs="Times New Roman"/>
          <w:sz w:val="32"/>
          <w:szCs w:val="32"/>
          <w:highlight w:val="none"/>
        </w:rPr>
        <w:t>号），现将</w:t>
      </w:r>
      <w:r>
        <w:rPr>
          <w:rFonts w:hint="default" w:ascii="Times New Roman" w:hAnsi="Times New Roman" w:eastAsia="方正仿宋_GBK" w:cs="Times New Roman"/>
          <w:sz w:val="32"/>
          <w:szCs w:val="32"/>
          <w:highlight w:val="none"/>
          <w:lang w:val="en-US" w:eastAsia="zh-CN"/>
        </w:rPr>
        <w:t>重庆市开州区人防指挥信息保障中心2025</w:t>
      </w:r>
      <w:r>
        <w:rPr>
          <w:rFonts w:hint="default" w:ascii="Times New Roman" w:hAnsi="Times New Roman" w:eastAsia="方正仿宋_GBK" w:cs="Times New Roman"/>
          <w:sz w:val="32"/>
          <w:szCs w:val="32"/>
          <w:highlight w:val="none"/>
        </w:rPr>
        <w:t>年部门预算批复情况公开如下：</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rPr>
        <w:t xml:space="preserve"> 录</w:t>
      </w: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第一部分：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cs="Times New Roman"/>
          <w:highlight w:val="none"/>
        </w:rPr>
      </w:pPr>
      <w:r>
        <w:rPr>
          <w:rFonts w:hint="default" w:ascii="Times New Roman" w:hAnsi="Times New Roman" w:eastAsia="方正楷体_GBK" w:cs="Times New Roman"/>
          <w:sz w:val="32"/>
          <w:szCs w:val="32"/>
          <w:highlight w:val="none"/>
        </w:rPr>
        <w:t>第二部分：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收支预算总表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表2、</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收入总表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表3、</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本年支出预算总表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表4、</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财政拨款收支预算总表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表5、</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本年一般公共预算支出预算表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表6、</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表7、</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表8、</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政府性基金预算支出预算表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表9、</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国有资本经营预算支出预算表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表10、</w:t>
      </w:r>
      <w:r>
        <w:rPr>
          <w:rFonts w:hint="default" w:ascii="Times New Roman" w:hAnsi="Times New Roman" w:eastAsia="方正仿宋_GBK" w:cs="Times New Roman"/>
          <w:sz w:val="32"/>
          <w:szCs w:val="32"/>
          <w:highlight w:val="none"/>
          <w:lang w:eastAsia="zh-CN"/>
        </w:rPr>
        <w:t>重庆市开州区人防指挥信息保障中心</w:t>
      </w:r>
      <w:r>
        <w:rPr>
          <w:rFonts w:hint="default" w:ascii="Times New Roman" w:hAnsi="Times New Roman" w:eastAsia="方正仿宋_GBK" w:cs="Times New Roman"/>
          <w:sz w:val="32"/>
          <w:szCs w:val="32"/>
          <w:highlight w:val="none"/>
        </w:rPr>
        <w:t>项目支出表</w:t>
      </w: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华文中宋"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一、单位基本情况</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（一）职能职责</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楷体_GBK" w:cs="Times New Roman"/>
          <w:sz w:val="32"/>
          <w:highlight w:val="yellow"/>
        </w:rPr>
      </w:pPr>
      <w:r>
        <w:rPr>
          <w:rFonts w:hint="default" w:ascii="Times New Roman" w:hAnsi="Times New Roman" w:eastAsia="方正仿宋_GBK" w:cs="Times New Roman"/>
          <w:sz w:val="32"/>
        </w:rPr>
        <w:t>参与国防动员工作，具体承担国民经济动员工作</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color w:val="0000FF"/>
          <w:sz w:val="32"/>
        </w:rPr>
      </w:pPr>
      <w:r>
        <w:rPr>
          <w:rFonts w:hint="default" w:ascii="Times New Roman" w:hAnsi="Times New Roman" w:eastAsia="方正仿宋_GBK" w:cs="Times New Roman"/>
          <w:sz w:val="32"/>
          <w:lang w:eastAsia="zh-CN"/>
        </w:rPr>
        <w:t>重庆市开州区人防指挥信息保障中心属区发展改革委直属事业</w:t>
      </w:r>
      <w:r>
        <w:rPr>
          <w:rFonts w:hint="default" w:ascii="Times New Roman" w:hAnsi="Times New Roman" w:eastAsia="方正仿宋_GBK" w:cs="Times New Roman"/>
          <w:sz w:val="32"/>
        </w:rPr>
        <w:t>单</w:t>
      </w:r>
      <w:r>
        <w:rPr>
          <w:rFonts w:hint="default" w:ascii="Times New Roman" w:hAnsi="Times New Roman" w:eastAsia="方正仿宋_GBK" w:cs="Times New Roman"/>
          <w:sz w:val="32"/>
          <w:lang w:eastAsia="zh-CN"/>
        </w:rPr>
        <w:t>位，</w:t>
      </w:r>
      <w:r>
        <w:rPr>
          <w:rFonts w:hint="default" w:ascii="Times New Roman" w:hAnsi="Times New Roman" w:eastAsia="方正仿宋_GBK" w:cs="Times New Roman"/>
          <w:sz w:val="32"/>
        </w:rPr>
        <w:t>财政全额拨款。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（一）收入预算：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67.55</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w:t>
      </w:r>
      <w:r>
        <w:rPr>
          <w:rFonts w:hint="default" w:ascii="Times New Roman" w:hAnsi="Times New Roman" w:eastAsia="方正仿宋_GBK" w:cs="Times New Roman"/>
          <w:sz w:val="32"/>
          <w:highlight w:val="none"/>
          <w:lang w:val="en-US" w:eastAsia="zh-CN"/>
        </w:rPr>
        <w:t>67.55</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政府性基金预算拨款</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国有资本经营预算收入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事业收入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万元，事业单位经营收入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其他收入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万元。收入较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sz w:val="32"/>
          <w:highlight w:val="none"/>
          <w:lang w:eastAsia="zh-CN"/>
        </w:rPr>
        <w:t>人员基本支出减少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（二）支出预算：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67.55</w:t>
      </w:r>
      <w:r>
        <w:rPr>
          <w:rFonts w:hint="default" w:ascii="Times New Roman" w:hAnsi="Times New Roman" w:eastAsia="方正仿宋_GBK" w:cs="Times New Roman"/>
          <w:sz w:val="32"/>
          <w:highlight w:val="none"/>
        </w:rPr>
        <w:t>万元，其中：一般公共服务支出</w:t>
      </w:r>
      <w:r>
        <w:rPr>
          <w:rFonts w:hint="default" w:ascii="Times New Roman" w:hAnsi="Times New Roman" w:eastAsia="方正仿宋_GBK" w:cs="Times New Roman"/>
          <w:sz w:val="32"/>
          <w:highlight w:val="none"/>
          <w:lang w:eastAsia="zh-CN"/>
        </w:rPr>
        <w:t>预算</w:t>
      </w:r>
      <w:r>
        <w:rPr>
          <w:rFonts w:hint="default" w:ascii="Times New Roman" w:hAnsi="Times New Roman" w:eastAsia="方正仿宋_GBK" w:cs="Times New Roman"/>
          <w:sz w:val="32"/>
          <w:highlight w:val="none"/>
          <w:lang w:val="en-US" w:eastAsia="zh-CN"/>
        </w:rPr>
        <w:t>51.57万元，</w:t>
      </w:r>
      <w:r>
        <w:rPr>
          <w:rFonts w:hint="default" w:ascii="Times New Roman" w:hAnsi="Times New Roman" w:eastAsia="方正仿宋_GBK" w:cs="Times New Roman"/>
          <w:sz w:val="32"/>
          <w:highlight w:val="none"/>
        </w:rPr>
        <w:t>社会保障和就业支出预算</w:t>
      </w:r>
      <w:r>
        <w:rPr>
          <w:rFonts w:hint="default" w:ascii="Times New Roman" w:hAnsi="Times New Roman" w:eastAsia="方正仿宋_GBK" w:cs="Times New Roman"/>
          <w:sz w:val="32"/>
          <w:highlight w:val="none"/>
          <w:lang w:val="en-US" w:eastAsia="zh-CN"/>
        </w:rPr>
        <w:t>9.58</w:t>
      </w:r>
      <w:r>
        <w:rPr>
          <w:rFonts w:hint="default" w:ascii="Times New Roman" w:hAnsi="Times New Roman" w:eastAsia="方正仿宋_GBK" w:cs="Times New Roman"/>
          <w:sz w:val="32"/>
          <w:highlight w:val="none"/>
        </w:rPr>
        <w:t>万元，卫生健康支出预算</w:t>
      </w:r>
      <w:r>
        <w:rPr>
          <w:rFonts w:hint="default" w:ascii="Times New Roman" w:hAnsi="Times New Roman" w:eastAsia="方正仿宋_GBK" w:cs="Times New Roman"/>
          <w:sz w:val="32"/>
          <w:highlight w:val="none"/>
          <w:lang w:val="en-US" w:eastAsia="zh-CN"/>
        </w:rPr>
        <w:t>3.14</w:t>
      </w:r>
      <w:r>
        <w:rPr>
          <w:rFonts w:hint="default" w:ascii="Times New Roman" w:hAnsi="Times New Roman" w:eastAsia="方正仿宋_GBK" w:cs="Times New Roman"/>
          <w:sz w:val="32"/>
          <w:highlight w:val="none"/>
        </w:rPr>
        <w:t>万元，住房保障支出预算</w:t>
      </w:r>
      <w:r>
        <w:rPr>
          <w:rFonts w:hint="default" w:ascii="Times New Roman" w:hAnsi="Times New Roman" w:eastAsia="方正仿宋_GBK" w:cs="Times New Roman"/>
          <w:sz w:val="32"/>
          <w:highlight w:val="none"/>
          <w:lang w:val="en-US" w:eastAsia="zh-CN"/>
        </w:rPr>
        <w:t>3.26</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w:t>
      </w:r>
      <w:r>
        <w:rPr>
          <w:rFonts w:hint="default" w:ascii="Times New Roman" w:hAnsi="Times New Roman" w:eastAsia="方正仿宋_GBK" w:cs="Times New Roman"/>
          <w:sz w:val="32"/>
          <w:highlight w:val="none"/>
        </w:rPr>
        <w:t>支出预算较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sz w:val="32"/>
          <w:highlight w:val="none"/>
          <w:lang w:eastAsia="zh-CN"/>
        </w:rPr>
        <w:t>人员基本支出减少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highlight w:val="none"/>
          <w:lang w:val="en-US" w:eastAsia="zh-CN"/>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年一般公共预算财政拨款收入</w:t>
      </w:r>
      <w:r>
        <w:rPr>
          <w:rFonts w:hint="default" w:ascii="Times New Roman" w:hAnsi="Times New Roman" w:eastAsia="方正仿宋_GBK" w:cs="Times New Roman"/>
          <w:sz w:val="32"/>
          <w:highlight w:val="none"/>
          <w:lang w:val="en-US" w:eastAsia="zh-CN"/>
        </w:rPr>
        <w:t>67.55</w:t>
      </w:r>
      <w:r>
        <w:rPr>
          <w:rFonts w:hint="default" w:ascii="Times New Roman" w:hAnsi="Times New Roman" w:eastAsia="方正仿宋_GBK" w:cs="Times New Roman"/>
          <w:sz w:val="32"/>
          <w:highlight w:val="none"/>
        </w:rPr>
        <w:t>万元，一般公共预算财政拨款支出</w:t>
      </w:r>
      <w:r>
        <w:rPr>
          <w:rFonts w:hint="default" w:ascii="Times New Roman" w:hAnsi="Times New Roman" w:eastAsia="方正仿宋_GBK" w:cs="Times New Roman"/>
          <w:sz w:val="32"/>
          <w:highlight w:val="none"/>
          <w:lang w:val="en-US" w:eastAsia="zh-CN"/>
        </w:rPr>
        <w:t>67.55</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万元。其中：基本支出</w:t>
      </w:r>
      <w:r>
        <w:rPr>
          <w:rFonts w:hint="default" w:ascii="Times New Roman" w:hAnsi="Times New Roman" w:eastAsia="方正仿宋_GBK" w:cs="Times New Roman"/>
          <w:sz w:val="32"/>
          <w:highlight w:val="none"/>
          <w:lang w:val="en-US" w:eastAsia="zh-CN"/>
        </w:rPr>
        <w:t>67.55</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sz w:val="32"/>
          <w:highlight w:val="none"/>
          <w:lang w:eastAsia="zh-CN"/>
        </w:rPr>
        <w:t>人员基本支出减少</w:t>
      </w:r>
      <w:r>
        <w:rPr>
          <w:rFonts w:hint="default" w:ascii="Times New Roman" w:hAnsi="Times New Roman" w:eastAsia="方正仿宋_GBK" w:cs="Times New Roman"/>
          <w:sz w:val="32"/>
          <w:highlight w:val="none"/>
          <w:lang w:val="en-US" w:eastAsia="zh-CN"/>
        </w:rPr>
        <w:t>15.39</w:t>
      </w:r>
      <w:r>
        <w:rPr>
          <w:rFonts w:hint="default" w:ascii="Times New Roman" w:hAnsi="Times New Roman" w:eastAsia="方正仿宋_GBK" w:cs="Times New Roman"/>
          <w:sz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年无政府性基金预算拨款安排的支出。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年“三公”经费预算</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相比无变化</w:t>
      </w:r>
      <w:r>
        <w:rPr>
          <w:rFonts w:hint="default" w:ascii="Times New Roman" w:hAnsi="Times New Roman" w:eastAsia="方正仿宋_GBK" w:cs="Times New Roman"/>
          <w:sz w:val="32"/>
          <w:highlight w:val="none"/>
        </w:rPr>
        <w:t>。其中：因公出国（境）费用</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相比无变化</w:t>
      </w:r>
      <w:r>
        <w:rPr>
          <w:rFonts w:hint="default" w:ascii="Times New Roman" w:hAnsi="Times New Roman" w:eastAsia="方正仿宋_GBK" w:cs="Times New Roman"/>
          <w:sz w:val="32"/>
          <w:highlight w:val="none"/>
        </w:rPr>
        <w:t>；公务接待费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相比无变化</w:t>
      </w:r>
      <w:r>
        <w:rPr>
          <w:rFonts w:hint="default" w:ascii="Times New Roman" w:hAnsi="Times New Roman" w:eastAsia="方正仿宋_GBK" w:cs="Times New Roman"/>
          <w:sz w:val="32"/>
          <w:highlight w:val="none"/>
        </w:rPr>
        <w:t>；公务用车运行维护费</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相比无变化，</w:t>
      </w:r>
      <w:r>
        <w:rPr>
          <w:rFonts w:hint="default" w:ascii="Times New Roman" w:hAnsi="Times New Roman" w:eastAsia="方正仿宋_GBK" w:cs="Times New Roman"/>
          <w:sz w:val="32"/>
          <w:highlight w:val="none"/>
        </w:rPr>
        <w:t>主要原因是</w:t>
      </w:r>
      <w:r>
        <w:rPr>
          <w:rFonts w:hint="default" w:ascii="Times New Roman" w:hAnsi="Times New Roman" w:eastAsia="方正仿宋_GBK" w:cs="Times New Roman"/>
          <w:sz w:val="32"/>
          <w:highlight w:val="none"/>
          <w:lang w:eastAsia="zh-CN"/>
        </w:rPr>
        <w:t>职能职责需要公务车运行</w:t>
      </w:r>
      <w:r>
        <w:rPr>
          <w:rFonts w:hint="default" w:ascii="Times New Roman" w:hAnsi="Times New Roman" w:eastAsia="方正仿宋_GBK" w:cs="Times New Roman"/>
          <w:sz w:val="32"/>
          <w:highlight w:val="none"/>
        </w:rPr>
        <w:t>；公务用车购置费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相比无变化</w:t>
      </w:r>
      <w:r>
        <w:rPr>
          <w:rFonts w:hint="default" w:ascii="Times New Roman" w:hAnsi="Times New Roman" w:eastAsia="方正仿宋_GBK"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sz w:val="32"/>
          <w:highlight w:val="none"/>
        </w:rPr>
      </w:pPr>
      <w:r>
        <w:rPr>
          <w:rFonts w:hint="eastAsia" w:ascii="方正楷体_GBK" w:hAnsi="方正楷体_GBK" w:eastAsia="方正楷体_GBK" w:cs="方正楷体_GBK"/>
          <w:b w:val="0"/>
          <w:bCs/>
          <w:sz w:val="32"/>
          <w:highlight w:val="none"/>
        </w:rPr>
        <w:t>1、我单位不在机关运行经费统计范围之内。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highlight w:val="none"/>
        </w:rPr>
      </w:pPr>
      <w:r>
        <w:rPr>
          <w:rFonts w:hint="default" w:ascii="方正楷体_GBK" w:hAnsi="方正楷体_GBK" w:eastAsia="方正楷体_GBK" w:cs="方正楷体_GBK"/>
          <w:b w:val="0"/>
          <w:bCs/>
          <w:sz w:val="32"/>
          <w:highlight w:val="none"/>
        </w:rPr>
        <w:t>2、政府采购情况。</w:t>
      </w:r>
      <w:r>
        <w:rPr>
          <w:rFonts w:hint="default" w:ascii="Times New Roman" w:hAnsi="Times New Roman" w:eastAsia="方正仿宋_GBK" w:cs="Times New Roman"/>
          <w:sz w:val="32"/>
          <w:highlight w:val="none"/>
        </w:rPr>
        <w:t>所属各预算单位政府采购预算总额</w:t>
      </w:r>
      <w:r>
        <w:rPr>
          <w:rFonts w:hint="eastAsia" w:eastAsia="方正仿宋_GBK" w:cs="Times New Roman"/>
          <w:sz w:val="32"/>
          <w:highlight w:val="none"/>
          <w:lang w:val="en-US" w:eastAsia="zh-CN"/>
        </w:rPr>
        <w:t>0</w:t>
      </w:r>
      <w:bookmarkStart w:id="0" w:name="_GoBack"/>
      <w:bookmarkEnd w:id="0"/>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万元；其中一般公共预算拨款政府采购</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highlight w:val="none"/>
        </w:rPr>
      </w:pPr>
      <w:r>
        <w:rPr>
          <w:rFonts w:hint="default" w:ascii="方正楷体_GBK" w:hAnsi="方正楷体_GBK" w:eastAsia="方正楷体_GBK" w:cs="方正楷体_GBK"/>
          <w:b w:val="0"/>
          <w:bCs/>
          <w:sz w:val="32"/>
          <w:highlight w:val="none"/>
        </w:rPr>
        <w:t>3、绩效目标设置情况。</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年项目支出均实行了绩效目标管理，涉及一般公共预算当年财政拨款</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highlight w:val="none"/>
        </w:rPr>
      </w:pPr>
      <w:r>
        <w:rPr>
          <w:rFonts w:hint="default" w:ascii="方正楷体_GBK" w:hAnsi="方正楷体_GBK" w:eastAsia="方正楷体_GBK" w:cs="方正楷体_GBK"/>
          <w:b w:val="0"/>
          <w:bCs/>
          <w:sz w:val="32"/>
          <w:highlight w:val="none"/>
        </w:rPr>
        <w:t>4、国有资产占有使用情况。</w:t>
      </w:r>
      <w:r>
        <w:rPr>
          <w:rFonts w:hint="default" w:ascii="Times New Roman" w:hAnsi="Times New Roman" w:eastAsia="方正仿宋_GBK" w:cs="Times New Roman"/>
          <w:color w:val="000000"/>
          <w:sz w:val="32"/>
          <w:highlight w:val="none"/>
        </w:rPr>
        <w:t>截</w:t>
      </w:r>
      <w:r>
        <w:rPr>
          <w:rFonts w:hint="default" w:ascii="Times New Roman" w:hAnsi="Times New Roman" w:eastAsia="方正仿宋_GBK" w:cs="Times New Roman"/>
          <w:color w:val="000000"/>
          <w:sz w:val="32"/>
          <w:highlight w:val="none"/>
          <w:lang w:eastAsia="zh-CN"/>
        </w:rPr>
        <w:t>至</w:t>
      </w:r>
      <w:r>
        <w:rPr>
          <w:rFonts w:hint="default" w:ascii="Times New Roman" w:hAnsi="Times New Roman" w:eastAsia="方正仿宋_GBK" w:cs="Times New Roman"/>
          <w:color w:val="000000"/>
          <w:sz w:val="32"/>
          <w:highlight w:val="none"/>
          <w:lang w:val="en-US" w:eastAsia="zh-CN"/>
        </w:rPr>
        <w:t>2024</w:t>
      </w:r>
      <w:r>
        <w:rPr>
          <w:rFonts w:hint="default" w:ascii="Times New Roman" w:hAnsi="Times New Roman" w:eastAsia="方正仿宋_GBK" w:cs="Times New Roman"/>
          <w:color w:val="000000"/>
          <w:sz w:val="32"/>
          <w:highlight w:val="none"/>
        </w:rPr>
        <w:t>年12月，所属各预算单位共有车辆</w:t>
      </w:r>
      <w:r>
        <w:rPr>
          <w:rFonts w:hint="default" w:ascii="Times New Roman" w:hAnsi="Times New Roman" w:eastAsia="方正仿宋_GBK" w:cs="Times New Roman"/>
          <w:color w:val="000000"/>
          <w:sz w:val="32"/>
          <w:highlight w:val="none"/>
          <w:lang w:val="en-US" w:eastAsia="zh-CN"/>
        </w:rPr>
        <w:t>1</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1</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年一般公共预算安排购置车辆</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六、专业性名词解释</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（一）财政拨款收入：</w:t>
      </w:r>
      <w:r>
        <w:rPr>
          <w:rFonts w:hint="default" w:ascii="Times New Roman" w:hAnsi="Times New Roman" w:eastAsia="方正仿宋_GBK" w:cs="Times New Roman"/>
          <w:sz w:val="32"/>
          <w:szCs w:val="32"/>
          <w:highlight w:val="none"/>
        </w:rPr>
        <w:t>指本年度从本级财政部门取得的财政拨款，包括一般公共预算财政拨款和政府性基金预算财政拨款。</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（二）其他收入：</w:t>
      </w:r>
      <w:r>
        <w:rPr>
          <w:rFonts w:hint="default" w:ascii="Times New Roman" w:hAnsi="Times New Roman" w:eastAsia="方正仿宋_GBK" w:cs="Times New Roman"/>
          <w:sz w:val="32"/>
          <w:szCs w:val="32"/>
          <w:highlight w:val="none"/>
        </w:rPr>
        <w:t>指单位取得的除“财政拨款收入”、“事业收入”、“经营收入”等以外的收入。</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（三）基本支出：</w:t>
      </w:r>
      <w:r>
        <w:rPr>
          <w:rFonts w:hint="default" w:ascii="Times New Roman" w:hAnsi="Times New Roman" w:eastAsia="方正仿宋_GBK" w:cs="Times New Roman"/>
          <w:sz w:val="32"/>
          <w:szCs w:val="32"/>
          <w:highlight w:val="none"/>
        </w:rPr>
        <w:t>指为保障机构正常运转、完成日常工作任务而发生的人员经费和公用经费。</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（四）项目支出：</w:t>
      </w:r>
      <w:r>
        <w:rPr>
          <w:rFonts w:hint="default" w:ascii="Times New Roman" w:hAnsi="Times New Roman" w:eastAsia="方正仿宋_GBK" w:cs="Times New Roman"/>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（五）“三公”经费：</w:t>
      </w:r>
      <w:r>
        <w:rPr>
          <w:rFonts w:hint="default" w:ascii="Times New Roman" w:hAnsi="Times New Roman" w:eastAsia="方正仿宋_GBK" w:cs="Times New Roman"/>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第二部分：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年部门预算公开报表（详见附表</w:t>
      </w:r>
      <w:r>
        <w:rPr>
          <w:rFonts w:hint="default" w:ascii="Times New Roman" w:hAnsi="Times New Roman" w:eastAsia="方正仿宋_GBK" w:cs="Times New Roman"/>
          <w:sz w:val="32"/>
          <w:highlight w:val="none"/>
          <w:lang w:eastAsia="zh-CN"/>
        </w:rPr>
        <w:t>重庆市开州区人防指挥信息保障中心</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highlight w:val="none"/>
        </w:rPr>
        <w:t>部门预算公开联系人：</w:t>
      </w:r>
      <w:r>
        <w:rPr>
          <w:rFonts w:hint="default" w:ascii="Times New Roman" w:hAnsi="Times New Roman" w:eastAsia="方正仿宋_GBK" w:cs="Times New Roman"/>
          <w:b/>
          <w:sz w:val="32"/>
          <w:highlight w:val="none"/>
          <w:lang w:val="en-US" w:eastAsia="zh-CN"/>
        </w:rPr>
        <w:t>刘建琼</w:t>
      </w:r>
      <w:r>
        <w:rPr>
          <w:rFonts w:hint="default" w:ascii="Times New Roman" w:hAnsi="Times New Roman" w:eastAsia="方正仿宋_GBK" w:cs="Times New Roman"/>
          <w:b/>
          <w:sz w:val="32"/>
          <w:highlight w:val="none"/>
        </w:rPr>
        <w:t xml:space="preserve">  联系方式：023-</w:t>
      </w:r>
      <w:r>
        <w:rPr>
          <w:rFonts w:hint="default" w:ascii="Times New Roman" w:hAnsi="Times New Roman" w:eastAsia="方正仿宋_GBK" w:cs="Times New Roman"/>
          <w:b/>
          <w:sz w:val="32"/>
          <w:highlight w:val="none"/>
          <w:lang w:val="en-US" w:eastAsia="zh-CN"/>
        </w:rPr>
        <w:t>52218986</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lang w:eastAsia="zh-CN"/>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rPr>
        <w:t xml:space="preserve"> </w:t>
      </w:r>
      <w:r>
        <w:rPr>
          <w:rFonts w:hint="eastAsia" w:eastAsia="方正仿宋_GBK"/>
          <w:sz w:val="32"/>
          <w:szCs w:val="32"/>
          <w:highlight w:val="none"/>
          <w:lang w:eastAsia="zh-CN"/>
        </w:rPr>
        <w:t>重庆市开州区人防指挥信息保障中心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color w:val="FF0000"/>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color w:val="FF0000"/>
          <w:sz w:val="32"/>
          <w:szCs w:val="32"/>
          <w:highlight w:val="none"/>
        </w:rPr>
        <w:t xml:space="preserve"> </w:t>
      </w:r>
      <w:r>
        <w:rPr>
          <w:rFonts w:eastAsia="方正仿宋_GBK"/>
          <w:color w:val="auto"/>
          <w:sz w:val="32"/>
          <w:szCs w:val="32"/>
          <w:highlight w:val="none"/>
        </w:rPr>
        <w:t>202</w:t>
      </w:r>
      <w:r>
        <w:rPr>
          <w:rFonts w:hint="eastAsia" w:eastAsia="方正仿宋_GBK"/>
          <w:color w:val="auto"/>
          <w:sz w:val="32"/>
          <w:szCs w:val="32"/>
          <w:highlight w:val="none"/>
          <w:lang w:val="en-US" w:eastAsia="zh-CN"/>
        </w:rPr>
        <w:t>5</w:t>
      </w:r>
      <w:r>
        <w:rPr>
          <w:rFonts w:eastAsia="方正仿宋_GBK"/>
          <w:color w:val="auto"/>
          <w:sz w:val="32"/>
          <w:szCs w:val="32"/>
          <w:highlight w:val="none"/>
        </w:rPr>
        <w:t>年3月</w:t>
      </w:r>
      <w:r>
        <w:rPr>
          <w:rFonts w:hint="eastAsia" w:eastAsia="方正仿宋_GBK"/>
          <w:color w:val="auto"/>
          <w:sz w:val="32"/>
          <w:szCs w:val="32"/>
          <w:highlight w:val="none"/>
          <w:lang w:val="en-US" w:eastAsia="zh-CN"/>
        </w:rPr>
        <w:t>28</w:t>
      </w:r>
      <w:r>
        <w:rPr>
          <w:rFonts w:eastAsia="方正仿宋_GBK"/>
          <w:color w:val="auto"/>
          <w:sz w:val="32"/>
          <w:szCs w:val="32"/>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hint="eastAsia" w:eastAsia="方正仿宋_GBK"/>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bidi w:val="0"/>
        <w:adjustRightInd/>
        <w:snapToGrid/>
        <w:spacing w:line="560" w:lineRule="exact"/>
        <w:jc w:val="both"/>
        <w:textAlignment w:val="auto"/>
      </w:pPr>
      <w:r>
        <w:rPr>
          <w:rFonts w:hint="default" w:ascii="Times New Roman" w:hAnsi="Times New Roman" w:eastAsia="方正仿宋_GBK" w:cs="Times New Roman"/>
          <w:spacing w:val="-11"/>
          <w:sz w:val="32"/>
          <w:szCs w:val="32"/>
          <w:lang w:val="en-US" w:eastAsia="zh-CN"/>
        </w:rPr>
        <w:t>重庆市开州区</w:t>
      </w:r>
      <w:r>
        <w:rPr>
          <w:rFonts w:hint="eastAsia" w:eastAsia="方正仿宋_GBK"/>
          <w:spacing w:val="-11"/>
          <w:sz w:val="32"/>
          <w:szCs w:val="32"/>
          <w:highlight w:val="none"/>
          <w:lang w:eastAsia="zh-CN"/>
        </w:rPr>
        <w:t>人防指挥信息保障中心办公室</w:t>
      </w:r>
      <w:r>
        <w:rPr>
          <w:rFonts w:hint="eastAsia" w:eastAsia="方正仿宋_GBK"/>
          <w:spacing w:val="-11"/>
          <w:sz w:val="32"/>
          <w:szCs w:val="32"/>
          <w:highlight w:val="none"/>
          <w:lang w:val="en-US" w:eastAsia="zh-CN"/>
        </w:rPr>
        <w:t xml:space="preserve">  </w:t>
      </w:r>
      <w:r>
        <w:rPr>
          <w:rFonts w:hint="eastAsia" w:eastAsia="方正仿宋_GBK"/>
          <w:sz w:val="32"/>
          <w:szCs w:val="32"/>
          <w:highlight w:val="none"/>
          <w:lang w:val="en-US" w:eastAsia="zh-CN"/>
        </w:rPr>
        <w:t>2</w:t>
      </w:r>
      <w:r>
        <w:rPr>
          <w:rFonts w:hint="default" w:ascii="Times New Roman" w:hAnsi="Times New Roman" w:eastAsia="方正仿宋_GBK" w:cs="Times New Roman"/>
          <w:sz w:val="32"/>
          <w:szCs w:val="32"/>
          <w:lang w:val="en-US" w:eastAsia="zh-CN"/>
        </w:rPr>
        <w:t>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年3月2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印发</w:t>
      </w: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637540" cy="276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754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pt;height:21.75pt;width:50.2pt;mso-position-horizontal:outside;mso-position-horizontal-relative:margin;z-index:251659264;mso-width-relative:page;mso-height-relative:page;" filled="f" stroked="f" coordsize="21600,21600" o:gfxdata="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vNHL51QAAAAcBAAAPAAAAAAAAAAEAIAAAACIAAABkcnMvZG93bnJldi54&#10;bWxQSwECFAAUAAAACACHTuJAR1buQTYCAABhBAAADgAAAAAAAAABACAAAAAkAQAAZHJzL2Uyb0Rv&#10;Yy54bWxQSwUGAAAAAAYABgBZAQAAzA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zk5ZDExYzU4N2U2NzcxYWQ2ZGRiNTMxNDY4NjYifQ=="/>
  </w:docVars>
  <w:rsids>
    <w:rsidRoot w:val="0BCF3AC4"/>
    <w:rsid w:val="00B46918"/>
    <w:rsid w:val="01546BE9"/>
    <w:rsid w:val="05904BE0"/>
    <w:rsid w:val="069D1BFD"/>
    <w:rsid w:val="086735A3"/>
    <w:rsid w:val="089F7EAE"/>
    <w:rsid w:val="09095327"/>
    <w:rsid w:val="09454990"/>
    <w:rsid w:val="0AC4231F"/>
    <w:rsid w:val="0BBE689D"/>
    <w:rsid w:val="0BCF3AC4"/>
    <w:rsid w:val="12767ED2"/>
    <w:rsid w:val="168E1EA0"/>
    <w:rsid w:val="17A6379A"/>
    <w:rsid w:val="17D9733A"/>
    <w:rsid w:val="18980476"/>
    <w:rsid w:val="18CF62D0"/>
    <w:rsid w:val="197F6462"/>
    <w:rsid w:val="19C0078F"/>
    <w:rsid w:val="1AE93EB4"/>
    <w:rsid w:val="1BD619E1"/>
    <w:rsid w:val="1CDA72AF"/>
    <w:rsid w:val="1CE343B6"/>
    <w:rsid w:val="1E615F74"/>
    <w:rsid w:val="1E8B7F8A"/>
    <w:rsid w:val="1EDD7BF3"/>
    <w:rsid w:val="1FE1510F"/>
    <w:rsid w:val="26084E8D"/>
    <w:rsid w:val="26832765"/>
    <w:rsid w:val="27D25752"/>
    <w:rsid w:val="2A0C3427"/>
    <w:rsid w:val="2ADC6262"/>
    <w:rsid w:val="2B0E78F7"/>
    <w:rsid w:val="2C4C35F9"/>
    <w:rsid w:val="2DF93367"/>
    <w:rsid w:val="2EF61A45"/>
    <w:rsid w:val="2EFC23C6"/>
    <w:rsid w:val="2F3D70D7"/>
    <w:rsid w:val="305355B9"/>
    <w:rsid w:val="32AA3CA1"/>
    <w:rsid w:val="344D7F0F"/>
    <w:rsid w:val="348A1163"/>
    <w:rsid w:val="36721EA8"/>
    <w:rsid w:val="37D42E21"/>
    <w:rsid w:val="3A0D6ACE"/>
    <w:rsid w:val="3A2D4A6A"/>
    <w:rsid w:val="3C2F632F"/>
    <w:rsid w:val="3CEC3657"/>
    <w:rsid w:val="429E4757"/>
    <w:rsid w:val="42A26ED8"/>
    <w:rsid w:val="434A043B"/>
    <w:rsid w:val="478C7274"/>
    <w:rsid w:val="47B95B8F"/>
    <w:rsid w:val="47DC362C"/>
    <w:rsid w:val="49A5056F"/>
    <w:rsid w:val="49CF4CAE"/>
    <w:rsid w:val="49DA3DCD"/>
    <w:rsid w:val="4B215F25"/>
    <w:rsid w:val="4B280462"/>
    <w:rsid w:val="4D79695D"/>
    <w:rsid w:val="4E585065"/>
    <w:rsid w:val="50D07A59"/>
    <w:rsid w:val="51024103"/>
    <w:rsid w:val="52953EDE"/>
    <w:rsid w:val="53A45945"/>
    <w:rsid w:val="53D23805"/>
    <w:rsid w:val="555D01CA"/>
    <w:rsid w:val="58164938"/>
    <w:rsid w:val="581D5CC6"/>
    <w:rsid w:val="58561FDC"/>
    <w:rsid w:val="585720E6"/>
    <w:rsid w:val="59532FA1"/>
    <w:rsid w:val="5B4758E4"/>
    <w:rsid w:val="5CF67058"/>
    <w:rsid w:val="5E2F0501"/>
    <w:rsid w:val="5F4D6E91"/>
    <w:rsid w:val="60C655DA"/>
    <w:rsid w:val="61825512"/>
    <w:rsid w:val="618C327F"/>
    <w:rsid w:val="64920802"/>
    <w:rsid w:val="64B452BD"/>
    <w:rsid w:val="670036B6"/>
    <w:rsid w:val="68E90584"/>
    <w:rsid w:val="6A943F19"/>
    <w:rsid w:val="6AC33BDA"/>
    <w:rsid w:val="6B8C05CF"/>
    <w:rsid w:val="6BBB5226"/>
    <w:rsid w:val="6D8A10DF"/>
    <w:rsid w:val="6DDF784E"/>
    <w:rsid w:val="6EC45CDD"/>
    <w:rsid w:val="76C45833"/>
    <w:rsid w:val="795F5CE7"/>
    <w:rsid w:val="79775B0D"/>
    <w:rsid w:val="7AE75E97"/>
    <w:rsid w:val="7C663F7A"/>
    <w:rsid w:val="7DAB14FB"/>
    <w:rsid w:val="7E114254"/>
    <w:rsid w:val="7F6776F9"/>
    <w:rsid w:val="7FC3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2007</Words>
  <Characters>2180</Characters>
  <Lines>0</Lines>
  <Paragraphs>0</Paragraphs>
  <TotalTime>3</TotalTime>
  <ScaleCrop>false</ScaleCrop>
  <LinksUpToDate>false</LinksUpToDate>
  <CharactersWithSpaces>2311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2025-02-24T01:28:00Z</dcterms:created>
  <dc:creator>lenovo</dc:creator>
  <cp:lastModifiedBy>刘建琼</cp:lastModifiedBy>
  <cp:lastPrinted>2025-03-13T02:52:00Z</cp:lastPrinted>
  <dcterms:modified xsi:type="dcterms:W3CDTF">2025-03-18T03:32:27Z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0CCB06FDF5034F4D8000C74D56650435_13</vt:lpwstr>
  </property>
  <property fmtid="{D5CDD505-2E9C-101B-9397-08002B2CF9AE}" pid="4" name="KSOTemplateDocerSaveRecord">
    <vt:lpwstr>eyJoZGlkIjoiN2YxN2ZjZWYzNjk4MDQyZjMxMWU4MWU3YzU2MThhYTgifQ==</vt:lpwstr>
  </property>
</Properties>
</file>