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Times New Roman" w:eastAsia="方正仿宋_GBK"/>
          <w:szCs w:val="32"/>
          <w:highlight w:val="none"/>
        </w:rPr>
      </w:pPr>
    </w:p>
    <w:p>
      <w:pPr>
        <w:jc w:val="distribute"/>
        <w:rPr>
          <w:rFonts w:hint="eastAsia" w:eastAsia="方正小标宋_GBK"/>
          <w:w w:val="80"/>
          <w:lang w:eastAsia="zh-CN"/>
        </w:rPr>
      </w:pPr>
      <w:r>
        <w:rPr>
          <w:rFonts w:eastAsia="方正小标宋_GBK"/>
          <w:color w:val="FF0000"/>
          <w:spacing w:val="-20"/>
          <w:w w:val="50"/>
          <w:sz w:val="134"/>
          <w:szCs w:val="134"/>
        </w:rPr>
        <w:t>重庆市开州区</w:t>
      </w:r>
      <w:r>
        <w:rPr>
          <w:rFonts w:hint="eastAsia" w:eastAsia="方正小标宋_GBK"/>
          <w:color w:val="FF0000"/>
          <w:spacing w:val="-20"/>
          <w:w w:val="50"/>
          <w:sz w:val="134"/>
          <w:szCs w:val="134"/>
          <w:lang w:eastAsia="zh-CN"/>
        </w:rPr>
        <w:t>能源发展中心</w:t>
      </w:r>
    </w:p>
    <w:p>
      <w:pPr>
        <w:spacing w:line="400" w:lineRule="exact"/>
        <w:jc w:val="center"/>
        <w:rPr>
          <w:rFonts w:eastAsia="黑体"/>
          <w:sz w:val="36"/>
        </w:rPr>
      </w:pPr>
    </w:p>
    <w:p>
      <w:pPr>
        <w:spacing w:line="100" w:lineRule="exact"/>
        <w:jc w:val="center"/>
        <w:rPr>
          <w:rFonts w:eastAsia="黑体"/>
          <w:sz w:val="36"/>
        </w:rPr>
      </w:pPr>
    </w:p>
    <w:p>
      <w:pPr>
        <w:spacing w:line="600" w:lineRule="exact"/>
        <w:ind w:firstLine="640" w:firstLineChars="200"/>
        <w:jc w:val="both"/>
        <w:rPr>
          <w:rFonts w:hint="eastAsia" w:eastAsia="方正仿宋_GBK"/>
          <w:sz w:val="32"/>
          <w:szCs w:val="32"/>
          <w:lang w:eastAsia="zh-CN"/>
        </w:rPr>
      </w:pPr>
      <w:bookmarkStart w:id="0" w:name="_GoBack"/>
      <w:r>
        <w:rPr>
          <w:rFonts w:eastAsia="方正仿宋_GBK"/>
          <w:sz w:val="32"/>
        </w:rPr>
        <w:t>开州</w:t>
      </w:r>
      <w:r>
        <w:rPr>
          <w:rFonts w:hint="eastAsia" w:eastAsia="方正仿宋_GBK"/>
          <w:sz w:val="32"/>
          <w:lang w:eastAsia="zh-CN"/>
        </w:rPr>
        <w:t>能发文</w:t>
      </w:r>
      <w:r>
        <w:rPr>
          <w:rFonts w:eastAsia="方正仿宋_GBK"/>
          <w:color w:val="000000"/>
          <w:sz w:val="32"/>
          <w:szCs w:val="32"/>
        </w:rPr>
        <w:t>〔202</w:t>
      </w:r>
      <w:r>
        <w:rPr>
          <w:rFonts w:hint="eastAsia" w:eastAsia="方正仿宋_GBK"/>
          <w:color w:val="000000"/>
          <w:sz w:val="32"/>
          <w:szCs w:val="32"/>
          <w:lang w:val="en-US" w:eastAsia="zh-CN"/>
        </w:rPr>
        <w:t>5</w:t>
      </w:r>
      <w:r>
        <w:rPr>
          <w:rFonts w:eastAsia="方正仿宋_GBK"/>
          <w:color w:val="000000"/>
          <w:sz w:val="32"/>
          <w:szCs w:val="32"/>
        </w:rPr>
        <w:t>〕</w:t>
      </w:r>
      <w:r>
        <w:rPr>
          <w:rFonts w:hint="eastAsia" w:eastAsia="方正仿宋_GBK"/>
          <w:sz w:val="32"/>
          <w:szCs w:val="32"/>
          <w:lang w:val="en-US" w:eastAsia="zh-CN"/>
        </w:rPr>
        <w:t>1</w:t>
      </w:r>
      <w:r>
        <w:rPr>
          <w:rFonts w:eastAsia="方正仿宋_GBK"/>
          <w:sz w:val="32"/>
        </w:rPr>
        <w:t>号               签发人：</w:t>
      </w:r>
      <w:r>
        <w:rPr>
          <w:rFonts w:hint="eastAsia" w:eastAsia="方正仿宋_GBK"/>
          <w:sz w:val="32"/>
          <w:lang w:eastAsia="zh-CN"/>
        </w:rPr>
        <w:t>彭浠</w:t>
      </w:r>
    </w:p>
    <w:p>
      <w:pPr>
        <w:bidi w:val="0"/>
      </w:pP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p>
    <w:bookmarkEnd w:id="0"/>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eastAsia="方正小标宋_GBK"/>
          <w:szCs w:val="32"/>
          <w:highlight w:val="none"/>
          <w:lang w:val="en-US" w:eastAsia="zh-CN"/>
        </w:rPr>
      </w:pPr>
      <w:r>
        <w:rPr>
          <w:rFonts w:hint="eastAsia" w:ascii="Times New Roman" w:eastAsia="方正小标宋_GBK"/>
          <w:color w:val="000000"/>
          <w:sz w:val="44"/>
          <w:szCs w:val="44"/>
          <w:highlight w:val="none"/>
          <w:lang w:eastAsia="zh-CN"/>
        </w:rPr>
        <w:t>重庆市开州区能源发展中心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按照有关财政预算公开的部署和要求，依据《中华人民共和国政府信息公开条例》（国务院令第492号）和重庆市开州区</w:t>
      </w:r>
      <w:r>
        <w:rPr>
          <w:rFonts w:hint="eastAsia" w:eastAsia="方正仿宋_GBK" w:cs="Times New Roman"/>
          <w:sz w:val="32"/>
          <w:szCs w:val="32"/>
          <w:highlight w:val="none"/>
          <w:lang w:eastAsia="zh-CN"/>
        </w:rPr>
        <w:t>发展和改革委员会</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转下达重庆市开州区能源发展中心</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sz w:val="32"/>
          <w:szCs w:val="32"/>
          <w:highlight w:val="none"/>
          <w:lang w:eastAsia="zh-CN"/>
        </w:rPr>
        <w:t>开州</w:t>
      </w:r>
      <w:r>
        <w:rPr>
          <w:rFonts w:hint="eastAsia" w:eastAsia="方正仿宋_GBK" w:cs="Times New Roman"/>
          <w:sz w:val="32"/>
          <w:szCs w:val="32"/>
          <w:highlight w:val="none"/>
          <w:lang w:eastAsia="zh-CN"/>
        </w:rPr>
        <w:t>发改文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号），现将</w:t>
      </w:r>
      <w:r>
        <w:rPr>
          <w:rFonts w:hint="default" w:ascii="Times New Roman" w:hAnsi="Times New Roman" w:eastAsia="方正仿宋_GBK" w:cs="Times New Roman"/>
          <w:sz w:val="32"/>
          <w:szCs w:val="32"/>
          <w:highlight w:val="none"/>
          <w:lang w:val="en-US" w:eastAsia="zh-CN"/>
        </w:rPr>
        <w:t>重庆市开州区能源发展中心2025</w:t>
      </w:r>
      <w:r>
        <w:rPr>
          <w:rFonts w:hint="default" w:ascii="Times New Roman" w:hAnsi="Times New Roman" w:eastAsia="方正仿宋_GBK" w:cs="Times New Roman"/>
          <w:sz w:val="32"/>
          <w:szCs w:val="32"/>
          <w:highlight w:val="none"/>
        </w:rPr>
        <w:t>年部门预算批复情况公开如下：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目</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rPr>
        <w:t xml:space="preserve"> 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第一部分：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第二部分：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表2、</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收入总表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表3、</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本年支出预算总表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表4、</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表5、</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本年一般公共预算支出预算表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表6、</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表7、</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表8、</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政府性基金预算支出预算表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表9、</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表10、</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rPr>
        <w:t>项目支出表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一、单位基本情况</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1．组织实施全区能源发展、能源节约（含建筑、工业、环保、矿产等节能领域）和新能源开发领域的新技术、新工艺、新装备的推广应用工作。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2．负责能源发展、能源节约和新能源开发领域的日常保障、协调工作，参与能源行业对外合作与交流。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3．负责全区能源信息服务工作，分析能源市场变化，发布能源信息。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4．参与能源工程建设等基础设施的规划、评审、建设工作。</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本中心属区发展改革委所属正科级事业单位，财政全额拨款。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（一）收入预算：</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政府性基金预算拨款</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国有资本经营预算收入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事业收入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万元，事业单位经营收入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其他收入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万元。收入较</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28.21</w:t>
      </w:r>
      <w:r>
        <w:rPr>
          <w:rFonts w:hint="default" w:ascii="Times New Roman" w:hAnsi="Times New Roman" w:eastAsia="方正仿宋_GBK" w:cs="Times New Roman"/>
          <w:sz w:val="32"/>
          <w:szCs w:val="32"/>
          <w:highlight w:val="none"/>
        </w:rPr>
        <w:t>万元，主要是</w:t>
      </w:r>
      <w:r>
        <w:rPr>
          <w:rFonts w:hint="default" w:ascii="Times New Roman" w:hAnsi="Times New Roman" w:eastAsia="方正仿宋_GBK" w:cs="Times New Roman"/>
          <w:sz w:val="32"/>
          <w:szCs w:val="32"/>
          <w:highlight w:val="none"/>
          <w:lang w:eastAsia="zh-CN"/>
        </w:rPr>
        <w:t>人员基本支出增加</w:t>
      </w:r>
      <w:r>
        <w:rPr>
          <w:rFonts w:hint="default" w:ascii="Times New Roman" w:hAnsi="Times New Roman" w:eastAsia="方正仿宋_GBK" w:cs="Times New Roman"/>
          <w:sz w:val="32"/>
          <w:szCs w:val="32"/>
          <w:highlight w:val="none"/>
          <w:lang w:val="en-US" w:eastAsia="zh-CN"/>
        </w:rPr>
        <w:t>28.21万元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（二）支出预算：</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万元，其中：社会保障和就业支出预算</w:t>
      </w:r>
      <w:r>
        <w:rPr>
          <w:rFonts w:hint="default" w:ascii="Times New Roman" w:hAnsi="Times New Roman" w:eastAsia="方正仿宋_GBK" w:cs="Times New Roman"/>
          <w:sz w:val="32"/>
          <w:szCs w:val="32"/>
          <w:highlight w:val="none"/>
          <w:lang w:val="en-US" w:eastAsia="zh-CN"/>
        </w:rPr>
        <w:t>19.27</w:t>
      </w:r>
      <w:r>
        <w:rPr>
          <w:rFonts w:hint="default" w:ascii="Times New Roman" w:hAnsi="Times New Roman" w:eastAsia="方正仿宋_GBK" w:cs="Times New Roman"/>
          <w:sz w:val="32"/>
          <w:szCs w:val="32"/>
          <w:highlight w:val="none"/>
        </w:rPr>
        <w:t>万元，卫生健康支出预算</w:t>
      </w:r>
      <w:r>
        <w:rPr>
          <w:rFonts w:hint="eastAsia" w:eastAsia="方正仿宋_GBK" w:cs="Times New Roman"/>
          <w:sz w:val="32"/>
          <w:szCs w:val="32"/>
          <w:highlight w:val="none"/>
          <w:lang w:val="en-US" w:eastAsia="zh-CN"/>
        </w:rPr>
        <w:t>5.8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节能环保支出预算92.84万元，</w:t>
      </w:r>
      <w:r>
        <w:rPr>
          <w:rFonts w:hint="default" w:ascii="Times New Roman" w:hAnsi="Times New Roman" w:eastAsia="方正仿宋_GBK" w:cs="Times New Roman"/>
          <w:sz w:val="32"/>
          <w:szCs w:val="32"/>
          <w:highlight w:val="none"/>
        </w:rPr>
        <w:t>住房保障支出预算</w:t>
      </w:r>
      <w:r>
        <w:rPr>
          <w:rFonts w:hint="default" w:ascii="Times New Roman" w:hAnsi="Times New Roman" w:eastAsia="方正仿宋_GBK" w:cs="Times New Roman"/>
          <w:sz w:val="32"/>
          <w:szCs w:val="32"/>
          <w:highlight w:val="none"/>
          <w:lang w:val="en-US" w:eastAsia="zh-CN"/>
        </w:rPr>
        <w:t>5.68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支出预算较</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28.21</w:t>
      </w:r>
      <w:r>
        <w:rPr>
          <w:rFonts w:hint="default" w:ascii="Times New Roman" w:hAnsi="Times New Roman" w:eastAsia="方正仿宋_GBK" w:cs="Times New Roman"/>
          <w:sz w:val="32"/>
          <w:szCs w:val="32"/>
          <w:highlight w:val="none"/>
        </w:rPr>
        <w:t>万元，主要是基本支出预算增加</w:t>
      </w:r>
      <w:r>
        <w:rPr>
          <w:rFonts w:hint="default" w:ascii="Times New Roman" w:hAnsi="Times New Roman" w:eastAsia="方正仿宋_GBK" w:cs="Times New Roman"/>
          <w:sz w:val="32"/>
          <w:szCs w:val="32"/>
          <w:highlight w:val="none"/>
          <w:lang w:val="en-US" w:eastAsia="zh-CN"/>
        </w:rPr>
        <w:t>28.21</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年一般公共预算财政拨款收入</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万元，一般公共预算财政拨款支出</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28.21</w:t>
      </w:r>
      <w:r>
        <w:rPr>
          <w:rFonts w:hint="default" w:ascii="Times New Roman" w:hAnsi="Times New Roman" w:eastAsia="方正仿宋_GBK" w:cs="Times New Roman"/>
          <w:sz w:val="32"/>
          <w:szCs w:val="32"/>
          <w:highlight w:val="none"/>
        </w:rPr>
        <w:t>万元。其中：基本支出</w:t>
      </w:r>
      <w:r>
        <w:rPr>
          <w:rFonts w:hint="default" w:ascii="Times New Roman" w:hAnsi="Times New Roman" w:eastAsia="方正仿宋_GBK" w:cs="Times New Roman"/>
          <w:sz w:val="32"/>
          <w:szCs w:val="32"/>
          <w:highlight w:val="none"/>
          <w:lang w:val="en-US" w:eastAsia="zh-CN"/>
        </w:rPr>
        <w:t>123.58</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年增加</w:t>
      </w:r>
      <w:r>
        <w:rPr>
          <w:rFonts w:hint="default" w:ascii="Times New Roman" w:hAnsi="Times New Roman" w:eastAsia="方正仿宋_GBK" w:cs="Times New Roman"/>
          <w:sz w:val="32"/>
          <w:szCs w:val="32"/>
          <w:highlight w:val="none"/>
          <w:lang w:val="en-US" w:eastAsia="zh-CN"/>
        </w:rPr>
        <w:t>28.21</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人员增加，社保基数调标</w:t>
      </w:r>
      <w:r>
        <w:rPr>
          <w:rFonts w:hint="default" w:ascii="Times New Roman" w:hAnsi="Times New Roman" w:eastAsia="方正仿宋_GBK" w:cs="Times New Roman"/>
          <w:sz w:val="32"/>
          <w:szCs w:val="32"/>
          <w:highlight w:val="none"/>
        </w:rPr>
        <w:t>等，主要用于保障在职人员工资福利及社会保险缴费，离休人员离休费，退休人员补助等，保障部门正常运转的各项商品服务支出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年无政府性基金预算拨款安排的支出。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年“三公”经费预算</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万元。其中：因公出国（境）费用</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相比无变化</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厉行节约减少接待费用</w:t>
      </w:r>
      <w:r>
        <w:rPr>
          <w:rFonts w:hint="default" w:ascii="Times New Roman" w:hAnsi="Times New Roman" w:eastAsia="方正仿宋_GBK" w:cs="Times New Roman"/>
          <w:sz w:val="32"/>
          <w:szCs w:val="32"/>
          <w:highlight w:val="none"/>
        </w:rPr>
        <w:t>；公务用车运行维护费</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相比无变化</w:t>
      </w:r>
      <w:r>
        <w:rPr>
          <w:rFonts w:hint="default" w:ascii="Times New Roman" w:hAnsi="Times New Roman" w:eastAsia="方正仿宋_GBK" w:cs="Times New Roman"/>
          <w:sz w:val="32"/>
          <w:szCs w:val="32"/>
          <w:highlight w:val="none"/>
        </w:rPr>
        <w:t>，主要原因是</w:t>
      </w:r>
      <w:r>
        <w:rPr>
          <w:rFonts w:hint="default" w:ascii="Times New Roman" w:hAnsi="Times New Roman" w:eastAsia="方正仿宋_GBK" w:cs="Times New Roman"/>
          <w:sz w:val="32"/>
          <w:szCs w:val="32"/>
          <w:highlight w:val="none"/>
          <w:lang w:eastAsia="zh-CN"/>
        </w:rPr>
        <w:t>因职能职责需要维持公务车运行</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相比无变化</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sz w:val="32"/>
          <w:szCs w:val="32"/>
          <w:highlight w:val="none"/>
        </w:rPr>
      </w:pPr>
      <w:r>
        <w:rPr>
          <w:rFonts w:hint="eastAsia" w:ascii="方正楷体_GBK" w:hAnsi="方正楷体_GBK" w:eastAsia="方正楷体_GBK" w:cs="方正楷体_GBK"/>
          <w:b w:val="0"/>
          <w:bCs/>
          <w:sz w:val="32"/>
          <w:szCs w:val="32"/>
          <w:highlight w:val="none"/>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highlight w:val="none"/>
        </w:rPr>
        <w:t>2、政府采购情况。</w:t>
      </w:r>
      <w:r>
        <w:rPr>
          <w:rFonts w:hint="default" w:ascii="Times New Roman" w:hAnsi="Times New Roman" w:eastAsia="方正仿宋_GBK" w:cs="Times New Roman"/>
          <w:sz w:val="32"/>
          <w:szCs w:val="32"/>
          <w:highlight w:val="none"/>
        </w:rPr>
        <w:t>所属各预算单位政府采购预算总额</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万元；其中一般公共预算拨款政府采购</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楷体_GBK" w:hAnsi="方正楷体_GBK" w:eastAsia="方正楷体_GBK" w:cs="方正楷体_GBK"/>
          <w:b w:val="0"/>
          <w:bCs/>
          <w:sz w:val="32"/>
          <w:szCs w:val="32"/>
          <w:highlight w:val="none"/>
        </w:rPr>
        <w:t>3、绩效目标设置情况。</w:t>
      </w:r>
      <w:r>
        <w:rPr>
          <w:rFonts w:hint="default" w:ascii="Times New Roman" w:hAnsi="Times New Roman"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年项目支出均实行了绩效目标管理，涉及一般公共预算当年财政拨款</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楷体_GBK" w:hAnsi="方正楷体_GBK" w:eastAsia="方正楷体_GBK" w:cs="方正楷体_GBK"/>
          <w:b w:val="0"/>
          <w:bCs/>
          <w:color w:val="000000"/>
          <w:sz w:val="32"/>
          <w:szCs w:val="32"/>
          <w:highlight w:val="none"/>
        </w:rPr>
        <w:t>4、国有资产占有使用情况。</w:t>
      </w:r>
      <w:r>
        <w:rPr>
          <w:rFonts w:hint="default" w:ascii="Times New Roman" w:hAnsi="Times New Roman" w:eastAsia="方正仿宋_GBK" w:cs="Times New Roman"/>
          <w:color w:val="000000"/>
          <w:sz w:val="32"/>
          <w:szCs w:val="32"/>
          <w:highlight w:val="none"/>
        </w:rPr>
        <w:t>截</w:t>
      </w:r>
      <w:r>
        <w:rPr>
          <w:rFonts w:hint="default" w:ascii="Times New Roman" w:hAnsi="Times New Roman" w:eastAsia="方正仿宋_GBK" w:cs="Times New Roman"/>
          <w:color w:val="000000"/>
          <w:sz w:val="32"/>
          <w:szCs w:val="32"/>
          <w:highlight w:val="none"/>
          <w:lang w:eastAsia="zh-CN"/>
        </w:rPr>
        <w:t>至</w:t>
      </w:r>
      <w:r>
        <w:rPr>
          <w:rFonts w:hint="default" w:ascii="Times New Roman" w:hAnsi="Times New Roman" w:eastAsia="方正仿宋_GBK" w:cs="Times New Roman"/>
          <w:color w:val="000000"/>
          <w:sz w:val="32"/>
          <w:szCs w:val="32"/>
          <w:highlight w:val="none"/>
          <w:lang w:val="en-US" w:eastAsia="zh-CN"/>
        </w:rPr>
        <w:t>2024</w:t>
      </w:r>
      <w:r>
        <w:rPr>
          <w:rFonts w:hint="default" w:ascii="Times New Roman" w:hAnsi="Times New Roman" w:eastAsia="方正仿宋_GBK" w:cs="Times New Roman"/>
          <w:color w:val="000000"/>
          <w:sz w:val="32"/>
          <w:szCs w:val="32"/>
          <w:highlight w:val="none"/>
        </w:rPr>
        <w:t>年12月，所属各预算单位共有车辆</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辆，其中一般公务用车</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辆、执勤执法用车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w:t>
      </w:r>
      <w:r>
        <w:rPr>
          <w:rFonts w:hint="default" w:ascii="Times New Roman" w:hAnsi="Times New Roman"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年一般公共预算安排购置车辆</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辆，其中一般公务用车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辆、执勤执法用车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六、专业性名词解释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（二）其他收入：</w:t>
      </w:r>
      <w:r>
        <w:rPr>
          <w:rFonts w:hint="default" w:ascii="Times New Roman" w:hAnsi="Times New Roman" w:eastAsia="方正仿宋_GBK" w:cs="Times New Roman"/>
          <w:sz w:val="32"/>
          <w:szCs w:val="32"/>
          <w:highlight w:val="none"/>
        </w:rPr>
        <w:t>指单位取得的除“财政拨款收入”、“事业收入”、“经营收入”等以外的收入。</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（三）基本支出：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（四）项目支出：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（五）“三公”经费：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年部门预算公开报表（详见附表</w:t>
      </w:r>
      <w:r>
        <w:rPr>
          <w:rFonts w:hint="default" w:ascii="Times New Roman" w:hAnsi="Times New Roman" w:eastAsia="方正仿宋_GBK" w:cs="Times New Roman"/>
          <w:sz w:val="32"/>
          <w:szCs w:val="32"/>
          <w:highlight w:val="none"/>
          <w:lang w:eastAsia="zh-CN"/>
        </w:rPr>
        <w:t>重庆市开州区能源发展中心</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部门预算公开联系人：</w:t>
      </w:r>
      <w:r>
        <w:rPr>
          <w:rFonts w:hint="default" w:ascii="Times New Roman" w:hAnsi="Times New Roman" w:eastAsia="方正仿宋_GBK" w:cs="Times New Roman"/>
          <w:b/>
          <w:sz w:val="32"/>
          <w:szCs w:val="32"/>
          <w:highlight w:val="none"/>
          <w:lang w:val="en-US" w:eastAsia="zh-CN"/>
        </w:rPr>
        <w:t>刘建琼</w:t>
      </w:r>
      <w:r>
        <w:rPr>
          <w:rFonts w:hint="default" w:ascii="Times New Roman" w:hAnsi="Times New Roman" w:eastAsia="方正仿宋_GBK" w:cs="Times New Roman"/>
          <w:b/>
          <w:sz w:val="32"/>
          <w:szCs w:val="32"/>
          <w:highlight w:val="none"/>
        </w:rPr>
        <w:t xml:space="preserve">  联系方式：023-</w:t>
      </w:r>
      <w:r>
        <w:rPr>
          <w:rFonts w:hint="default" w:ascii="Times New Roman" w:hAnsi="Times New Roman" w:eastAsia="方正仿宋_GBK" w:cs="Times New Roman"/>
          <w:b/>
          <w:sz w:val="32"/>
          <w:szCs w:val="32"/>
          <w:highlight w:val="none"/>
          <w:lang w:val="en-US" w:eastAsia="zh-CN"/>
        </w:rPr>
        <w:t>52218986</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重庆市开州区能源发展中心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eastAsia="方正仿宋_GBK"/>
          <w:color w:val="FF0000"/>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FF0000"/>
          <w:sz w:val="32"/>
          <w:szCs w:val="32"/>
          <w:highlight w:val="none"/>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年3月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hint="eastAsia" w:eastAsia="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bidi w:val="0"/>
        <w:adjustRightInd/>
        <w:snapToGrid/>
        <w:spacing w:line="560" w:lineRule="exact"/>
        <w:jc w:val="center"/>
        <w:textAlignment w:val="auto"/>
      </w:pPr>
      <w:r>
        <w:rPr>
          <w:rFonts w:hint="default" w:ascii="Times New Roman" w:hAnsi="Times New Roman" w:eastAsia="方正仿宋_GBK" w:cs="Times New Roman"/>
          <w:sz w:val="32"/>
          <w:szCs w:val="32"/>
          <w:lang w:val="en-US" w:eastAsia="zh-CN"/>
        </w:rPr>
        <w:t>重庆市开州区</w:t>
      </w:r>
      <w:r>
        <w:rPr>
          <w:rFonts w:hint="eastAsia" w:eastAsia="方正仿宋_GBK" w:cs="Times New Roman"/>
          <w:sz w:val="32"/>
          <w:szCs w:val="32"/>
          <w:lang w:val="en-US" w:eastAsia="zh-CN"/>
        </w:rPr>
        <w:t xml:space="preserve">能源发展中心办公室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印发</w:t>
      </w: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6623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23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52.15pt;mso-position-horizontal:outside;mso-position-horizontal-relative:margin;z-index:251659264;mso-width-relative:page;mso-height-relative:page;" filled="f" stroked="f" coordsize="21600,21600" o:gfxdata="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bzpR9YAAAAIAQAADwAAAAAAAAABACAAAAAiAAAAZHJzL2Rvd25yZXYu&#10;eG1sUEsBAhQAFAAAAAgAh07iQGiDa9E2AgAAYgQAAA4AAAAAAAAAAQAgAAAAJQEAAGRycy9lMm9E&#10;b2MueG1sUEsFBgAAAAAGAAYAWQEAAM0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zk5ZDExYzU4N2U2NzcxYWQ2ZGRiNTMxNDY4NjYifQ=="/>
  </w:docVars>
  <w:rsids>
    <w:rsidRoot w:val="0BCF3AC4"/>
    <w:rsid w:val="00B46918"/>
    <w:rsid w:val="0229380C"/>
    <w:rsid w:val="046C3F12"/>
    <w:rsid w:val="04F75505"/>
    <w:rsid w:val="05904BE0"/>
    <w:rsid w:val="086735A3"/>
    <w:rsid w:val="089F7EAE"/>
    <w:rsid w:val="09095327"/>
    <w:rsid w:val="09454990"/>
    <w:rsid w:val="0AC4231F"/>
    <w:rsid w:val="0BBE689D"/>
    <w:rsid w:val="0BCF3AC4"/>
    <w:rsid w:val="0C0D6BFB"/>
    <w:rsid w:val="12767ED2"/>
    <w:rsid w:val="13AC40B0"/>
    <w:rsid w:val="145B0086"/>
    <w:rsid w:val="168E1EA0"/>
    <w:rsid w:val="17A6379A"/>
    <w:rsid w:val="18980476"/>
    <w:rsid w:val="197F6462"/>
    <w:rsid w:val="1AE93EB4"/>
    <w:rsid w:val="1BA5415C"/>
    <w:rsid w:val="1BD619E1"/>
    <w:rsid w:val="1CDA72AF"/>
    <w:rsid w:val="1CE343B6"/>
    <w:rsid w:val="1E615F74"/>
    <w:rsid w:val="1FE1510F"/>
    <w:rsid w:val="20AC767E"/>
    <w:rsid w:val="255E0351"/>
    <w:rsid w:val="26084E8D"/>
    <w:rsid w:val="26832765"/>
    <w:rsid w:val="272A498F"/>
    <w:rsid w:val="2A0C3427"/>
    <w:rsid w:val="2ADC6262"/>
    <w:rsid w:val="2C4C35F9"/>
    <w:rsid w:val="2DDB02CC"/>
    <w:rsid w:val="2DF93367"/>
    <w:rsid w:val="2EF61A45"/>
    <w:rsid w:val="2F3D70D7"/>
    <w:rsid w:val="32AA3CA1"/>
    <w:rsid w:val="32D81743"/>
    <w:rsid w:val="3A0D6ACE"/>
    <w:rsid w:val="3C0B552B"/>
    <w:rsid w:val="3E010D08"/>
    <w:rsid w:val="429E4757"/>
    <w:rsid w:val="434A043B"/>
    <w:rsid w:val="43A67F58"/>
    <w:rsid w:val="45FE485A"/>
    <w:rsid w:val="475C0EB1"/>
    <w:rsid w:val="478C7274"/>
    <w:rsid w:val="47DC362C"/>
    <w:rsid w:val="49A5056F"/>
    <w:rsid w:val="49CF4CAE"/>
    <w:rsid w:val="4E342941"/>
    <w:rsid w:val="4FD82726"/>
    <w:rsid w:val="501B67FE"/>
    <w:rsid w:val="502A53A6"/>
    <w:rsid w:val="50D07A59"/>
    <w:rsid w:val="53A45945"/>
    <w:rsid w:val="53D23805"/>
    <w:rsid w:val="5729487D"/>
    <w:rsid w:val="58561FDC"/>
    <w:rsid w:val="5CF67058"/>
    <w:rsid w:val="5E2F0501"/>
    <w:rsid w:val="5F4D6E91"/>
    <w:rsid w:val="5F5F6BC4"/>
    <w:rsid w:val="60C655DA"/>
    <w:rsid w:val="60F66ED2"/>
    <w:rsid w:val="61825512"/>
    <w:rsid w:val="618C327F"/>
    <w:rsid w:val="64920802"/>
    <w:rsid w:val="64DE56E3"/>
    <w:rsid w:val="670036B6"/>
    <w:rsid w:val="68E90584"/>
    <w:rsid w:val="6A943F19"/>
    <w:rsid w:val="6AC33BDA"/>
    <w:rsid w:val="6B8C05CF"/>
    <w:rsid w:val="6BBB5226"/>
    <w:rsid w:val="6CBE6744"/>
    <w:rsid w:val="6D035219"/>
    <w:rsid w:val="6DDF784E"/>
    <w:rsid w:val="6EC45CDD"/>
    <w:rsid w:val="6F225CE6"/>
    <w:rsid w:val="71AD32C5"/>
    <w:rsid w:val="71D85AD8"/>
    <w:rsid w:val="76C45833"/>
    <w:rsid w:val="796C40D1"/>
    <w:rsid w:val="79775B0D"/>
    <w:rsid w:val="7C663F7A"/>
    <w:rsid w:val="7CF27BAB"/>
    <w:rsid w:val="7DAB14FB"/>
    <w:rsid w:val="7FF8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2151</Words>
  <Characters>2326</Characters>
  <Lines>0</Lines>
  <Paragraphs>0</Paragraphs>
  <TotalTime>6</TotalTime>
  <ScaleCrop>false</ScaleCrop>
  <LinksUpToDate>false</LinksUpToDate>
  <CharactersWithSpaces>2460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2025-02-24T01:28:00Z</dcterms:created>
  <dc:creator>lenovo</dc:creator>
  <cp:lastModifiedBy>刘建琼</cp:lastModifiedBy>
  <cp:lastPrinted>2025-03-04T02:46:00Z</cp:lastPrinted>
  <dcterms:modified xsi:type="dcterms:W3CDTF">2025-03-18T03:27:09Z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0CCB06FDF5034F4D8000C74D56650435_13</vt:lpwstr>
  </property>
  <property fmtid="{D5CDD505-2E9C-101B-9397-08002B2CF9AE}" pid="4" name="KSOTemplateDocerSaveRecord">
    <vt:lpwstr>eyJoZGlkIjoiN2YxN2ZjZWYzNjk4MDQyZjMxMWU4MWU3YzU2MThhYTgifQ==</vt:lpwstr>
  </property>
</Properties>
</file>