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9F" w:rsidRDefault="0026289F">
      <w:pPr>
        <w:jc w:val="center"/>
        <w:rPr>
          <w:rFonts w:ascii="宋体" w:eastAsia="宋体" w:hAnsi="宋体" w:cs="宋体"/>
        </w:rPr>
      </w:pPr>
    </w:p>
    <w:p w:rsidR="0026289F" w:rsidRDefault="0026289F">
      <w:pPr>
        <w:spacing w:line="600" w:lineRule="exact"/>
        <w:rPr>
          <w:rFonts w:ascii="宋体" w:eastAsia="宋体" w:hAnsi="宋体" w:cs="宋体"/>
        </w:rPr>
      </w:pPr>
    </w:p>
    <w:tbl>
      <w:tblPr>
        <w:tblW w:w="0" w:type="auto"/>
        <w:jc w:val="center"/>
        <w:tblLook w:val="04A0" w:firstRow="1" w:lastRow="0" w:firstColumn="1" w:lastColumn="0" w:noHBand="0" w:noVBand="1"/>
      </w:tblPr>
      <w:tblGrid>
        <w:gridCol w:w="5076"/>
      </w:tblGrid>
      <w:tr w:rsidR="00F6098D" w:rsidRPr="00E67446" w:rsidTr="00DA3175">
        <w:trPr>
          <w:trHeight w:val="513"/>
          <w:jc w:val="center"/>
        </w:trPr>
        <w:tc>
          <w:tcPr>
            <w:tcW w:w="5076" w:type="dxa"/>
            <w:shd w:val="clear" w:color="auto" w:fill="auto"/>
          </w:tcPr>
          <w:p w:rsidR="00F6098D" w:rsidRPr="00B4423A" w:rsidRDefault="00F6098D" w:rsidP="00DA3175">
            <w:pPr>
              <w:spacing w:line="578" w:lineRule="exact"/>
              <w:jc w:val="distribute"/>
              <w:rPr>
                <w:rFonts w:eastAsia="方正小标宋_GBK" w:hint="eastAsia"/>
                <w:sz w:val="44"/>
                <w:szCs w:val="44"/>
              </w:rPr>
            </w:pPr>
            <w:bookmarkStart w:id="0" w:name="正文文件"/>
            <w:bookmarkEnd w:id="0"/>
            <w:r w:rsidRPr="00B4423A">
              <w:rPr>
                <w:rFonts w:eastAsia="方正小标宋_GBK" w:hint="eastAsia"/>
                <w:sz w:val="44"/>
                <w:szCs w:val="44"/>
              </w:rPr>
              <w:t>重庆市财政局</w:t>
            </w:r>
          </w:p>
        </w:tc>
      </w:tr>
      <w:tr w:rsidR="00F6098D" w:rsidRPr="00E67446" w:rsidTr="00DA3175">
        <w:trPr>
          <w:trHeight w:val="513"/>
          <w:jc w:val="center"/>
        </w:trPr>
        <w:tc>
          <w:tcPr>
            <w:tcW w:w="5076" w:type="dxa"/>
            <w:shd w:val="clear" w:color="auto" w:fill="auto"/>
          </w:tcPr>
          <w:p w:rsidR="00F6098D" w:rsidRPr="00B4423A" w:rsidRDefault="00F6098D" w:rsidP="00DA3175">
            <w:pPr>
              <w:spacing w:line="578" w:lineRule="exact"/>
              <w:jc w:val="distribute"/>
              <w:rPr>
                <w:rFonts w:eastAsia="方正小标宋_GBK" w:hint="eastAsia"/>
                <w:sz w:val="44"/>
                <w:szCs w:val="44"/>
              </w:rPr>
            </w:pPr>
            <w:r w:rsidRPr="00B4423A">
              <w:rPr>
                <w:rFonts w:eastAsia="方正小标宋_GBK" w:hint="eastAsia"/>
                <w:sz w:val="44"/>
                <w:szCs w:val="44"/>
              </w:rPr>
              <w:t>重庆市发展和改革委员会</w:t>
            </w:r>
          </w:p>
        </w:tc>
      </w:tr>
      <w:tr w:rsidR="00F6098D" w:rsidRPr="00E67446" w:rsidTr="00DA3175">
        <w:trPr>
          <w:trHeight w:val="513"/>
          <w:jc w:val="center"/>
        </w:trPr>
        <w:tc>
          <w:tcPr>
            <w:tcW w:w="5076" w:type="dxa"/>
            <w:shd w:val="clear" w:color="auto" w:fill="auto"/>
          </w:tcPr>
          <w:p w:rsidR="00F6098D" w:rsidRPr="00B4423A" w:rsidRDefault="00F6098D" w:rsidP="00DA3175">
            <w:pPr>
              <w:spacing w:line="578" w:lineRule="exact"/>
              <w:jc w:val="distribute"/>
              <w:rPr>
                <w:rFonts w:eastAsia="方正小标宋_GBK" w:hint="eastAsia"/>
                <w:sz w:val="44"/>
                <w:szCs w:val="44"/>
              </w:rPr>
            </w:pPr>
            <w:r w:rsidRPr="00B4423A">
              <w:rPr>
                <w:rFonts w:eastAsia="方正小标宋_GBK" w:hint="eastAsia"/>
                <w:sz w:val="44"/>
                <w:szCs w:val="44"/>
              </w:rPr>
              <w:t>重庆市农业农村委员会</w:t>
            </w:r>
          </w:p>
        </w:tc>
      </w:tr>
    </w:tbl>
    <w:p w:rsidR="00F6098D" w:rsidRPr="00E67446" w:rsidRDefault="00F6098D" w:rsidP="00F6098D">
      <w:pPr>
        <w:spacing w:line="578" w:lineRule="exact"/>
        <w:jc w:val="center"/>
        <w:rPr>
          <w:rFonts w:eastAsia="方正小标宋_GBK"/>
          <w:sz w:val="44"/>
          <w:szCs w:val="44"/>
        </w:rPr>
      </w:pPr>
      <w:r w:rsidRPr="00E67446">
        <w:rPr>
          <w:rFonts w:eastAsia="方正小标宋_GBK" w:hint="eastAsia"/>
          <w:sz w:val="44"/>
          <w:szCs w:val="44"/>
        </w:rPr>
        <w:t>关于进一步明确</w:t>
      </w:r>
      <w:r w:rsidRPr="00E67446">
        <w:rPr>
          <w:rFonts w:eastAsia="方正小标宋_GBK" w:hint="eastAsia"/>
          <w:sz w:val="44"/>
          <w:szCs w:val="44"/>
        </w:rPr>
        <w:t>2024</w:t>
      </w:r>
      <w:r w:rsidRPr="00E67446">
        <w:rPr>
          <w:rFonts w:eastAsia="方正小标宋_GBK" w:hint="eastAsia"/>
          <w:sz w:val="44"/>
          <w:szCs w:val="44"/>
        </w:rPr>
        <w:t>年高标准农田建设项目</w:t>
      </w:r>
    </w:p>
    <w:p w:rsidR="00F6098D" w:rsidRPr="00E67446" w:rsidRDefault="00F6098D" w:rsidP="00F6098D">
      <w:pPr>
        <w:spacing w:line="578" w:lineRule="exact"/>
        <w:jc w:val="center"/>
        <w:rPr>
          <w:rFonts w:eastAsia="方正小标宋_GBK" w:hint="eastAsia"/>
          <w:sz w:val="44"/>
          <w:szCs w:val="44"/>
        </w:rPr>
      </w:pPr>
      <w:r w:rsidRPr="00E67446">
        <w:rPr>
          <w:rFonts w:eastAsia="方正小标宋_GBK" w:hint="eastAsia"/>
          <w:sz w:val="44"/>
          <w:szCs w:val="44"/>
        </w:rPr>
        <w:t>资金管理有关要求的通知</w:t>
      </w:r>
    </w:p>
    <w:p w:rsidR="00F6098D" w:rsidRPr="00E67446" w:rsidRDefault="00F6098D" w:rsidP="00F6098D">
      <w:pPr>
        <w:spacing w:line="578" w:lineRule="exact"/>
        <w:jc w:val="center"/>
        <w:rPr>
          <w:rFonts w:hint="eastAsia"/>
        </w:rPr>
      </w:pPr>
      <w:r w:rsidRPr="00E67446">
        <w:rPr>
          <w:rFonts w:hint="eastAsia"/>
        </w:rPr>
        <w:t>渝财农〔</w:t>
      </w:r>
      <w:r w:rsidRPr="00E67446">
        <w:rPr>
          <w:rFonts w:hint="eastAsia"/>
        </w:rPr>
        <w:t>2024</w:t>
      </w:r>
      <w:r w:rsidRPr="00E67446">
        <w:rPr>
          <w:rFonts w:hint="eastAsia"/>
        </w:rPr>
        <w:t>〕</w:t>
      </w:r>
      <w:r w:rsidRPr="00E67446">
        <w:rPr>
          <w:rFonts w:hint="eastAsia"/>
        </w:rPr>
        <w:t>87</w:t>
      </w:r>
      <w:r w:rsidRPr="00E67446">
        <w:rPr>
          <w:rFonts w:hint="eastAsia"/>
        </w:rPr>
        <w:t>号</w:t>
      </w:r>
    </w:p>
    <w:p w:rsidR="00F6098D" w:rsidRPr="00E67446" w:rsidRDefault="00F6098D" w:rsidP="00F6098D">
      <w:pPr>
        <w:spacing w:line="578" w:lineRule="exact"/>
      </w:pPr>
    </w:p>
    <w:p w:rsidR="00F6098D" w:rsidRPr="00E67446" w:rsidRDefault="00F6098D" w:rsidP="00F6098D">
      <w:pPr>
        <w:spacing w:line="578" w:lineRule="exact"/>
        <w:rPr>
          <w:rFonts w:hint="eastAsia"/>
        </w:rPr>
      </w:pPr>
      <w:r w:rsidRPr="00E67446">
        <w:rPr>
          <w:rFonts w:hint="eastAsia"/>
        </w:rPr>
        <w:t>各区县（自治县）财政局、发展改革委、农业农村委，万盛经开区财政局、发展改革局、农林局：</w:t>
      </w:r>
    </w:p>
    <w:p w:rsidR="00F6098D" w:rsidRPr="00E67446" w:rsidRDefault="00F6098D" w:rsidP="00F6098D">
      <w:pPr>
        <w:spacing w:line="578" w:lineRule="exact"/>
        <w:ind w:firstLineChars="200" w:firstLine="640"/>
        <w:rPr>
          <w:rFonts w:hint="eastAsia"/>
        </w:rPr>
      </w:pPr>
      <w:r w:rsidRPr="00E67446">
        <w:rPr>
          <w:rFonts w:hint="eastAsia"/>
        </w:rPr>
        <w:t>为深入贯彻落实习近平总书记关于加强高标准农田建设的重要指示精神，全面落实中央决策部署和市委、市政府相关工作要求，进一步优化财政支持方式，完善组织发动机制，充分发挥村集体和农民的主体作用，加快形成多元投入格局</w:t>
      </w:r>
      <w:r w:rsidRPr="00E67446">
        <w:t>，</w:t>
      </w:r>
      <w:r w:rsidRPr="00E67446">
        <w:rPr>
          <w:rFonts w:hint="eastAsia"/>
        </w:rPr>
        <w:t>有序推进千万亩高标准改造提升行动，现就有关事宜通知如下。</w:t>
      </w:r>
    </w:p>
    <w:p w:rsidR="00F6098D" w:rsidRPr="00E67446" w:rsidRDefault="00F6098D" w:rsidP="00F6098D">
      <w:pPr>
        <w:spacing w:line="600" w:lineRule="exact"/>
        <w:ind w:firstLineChars="200" w:firstLine="640"/>
        <w:rPr>
          <w:rFonts w:eastAsia="方正黑体_GBK" w:hint="eastAsia"/>
        </w:rPr>
      </w:pPr>
      <w:r w:rsidRPr="00E67446">
        <w:rPr>
          <w:rFonts w:eastAsia="方正黑体_GBK" w:hint="eastAsia"/>
        </w:rPr>
        <w:t>一、加快推动项目实施</w:t>
      </w:r>
    </w:p>
    <w:p w:rsidR="00F6098D" w:rsidRPr="00E67446" w:rsidRDefault="00F6098D" w:rsidP="00F6098D">
      <w:pPr>
        <w:spacing w:line="600" w:lineRule="exact"/>
        <w:ind w:firstLineChars="200" w:firstLine="640"/>
        <w:rPr>
          <w:rFonts w:hint="eastAsia"/>
        </w:rPr>
      </w:pPr>
      <w:r w:rsidRPr="00E67446">
        <w:rPr>
          <w:rFonts w:hint="eastAsia"/>
        </w:rPr>
        <w:t>各区县要对照年度目标任务，按照新修订的《重庆市农田建设项目管理实施办法》（渝农规〔</w:t>
      </w:r>
      <w:r w:rsidRPr="00E67446">
        <w:rPr>
          <w:rFonts w:hint="eastAsia"/>
        </w:rPr>
        <w:t>2024</w:t>
      </w:r>
      <w:r w:rsidRPr="00E67446">
        <w:rPr>
          <w:rFonts w:hint="eastAsia"/>
        </w:rPr>
        <w:t>〕</w:t>
      </w:r>
      <w:r w:rsidRPr="00E67446">
        <w:rPr>
          <w:rFonts w:hint="eastAsia"/>
        </w:rPr>
        <w:t>3</w:t>
      </w:r>
      <w:r w:rsidRPr="00E67446">
        <w:rPr>
          <w:rFonts w:hint="eastAsia"/>
        </w:rPr>
        <w:t>号）的要求，进一步增强紧迫感，把住关键时间节点，根据初步设计批复内容，加快项目组织实施</w:t>
      </w:r>
      <w:r w:rsidRPr="00E67446">
        <w:rPr>
          <w:rFonts w:hint="eastAsia"/>
        </w:rPr>
        <w:lastRenderedPageBreak/>
        <w:t>的前期工作。要简化项目审批程序，不再单独核定投资概算，参照可研批复的投资执行。充分发挥村集体和农民的主体作用，以村为单元，因地制宜鼓励、引导村集体经济组织和农民参照以工代赈等高效实施方式，参与高标准农田建设和运营。要结合农作物种植、生长期合理安排田边、田间工程的建设时序，精细化组织实施，不得搭车建设通村道路、村内生活道路。要紧盯工程质量，严把建材质量关、施工建设关、工程监理关，重点关注按图施工、按规范施工、收方计量、分部分项工程验收及过程监管等关键环节，对设计不合理的内容要及时变更并组织实施，要同步加强资料归集和安全防护工作。</w:t>
      </w:r>
      <w:r w:rsidRPr="00E67446">
        <w:t>要</w:t>
      </w:r>
      <w:r w:rsidRPr="00E67446">
        <w:rPr>
          <w:rFonts w:hint="eastAsia"/>
        </w:rPr>
        <w:t>及时组织验收完工项目并移交管护。各区县要按照有关规定，及时公开农田建设项目</w:t>
      </w:r>
      <w:r w:rsidRPr="00E67446">
        <w:t>资金</w:t>
      </w:r>
      <w:r w:rsidRPr="00E67446">
        <w:rPr>
          <w:rFonts w:hint="eastAsia"/>
        </w:rPr>
        <w:t>使用相关信息，通过设立标识牌等方式，对参建单位、建设内容、建设投资等相关内容进行公示并接受监督。</w:t>
      </w:r>
    </w:p>
    <w:p w:rsidR="00F6098D" w:rsidRPr="00E67446" w:rsidRDefault="00F6098D" w:rsidP="00F6098D">
      <w:pPr>
        <w:spacing w:line="600" w:lineRule="exact"/>
        <w:ind w:firstLineChars="200" w:firstLine="640"/>
        <w:rPr>
          <w:rFonts w:eastAsia="方正黑体_GBK" w:hint="eastAsia"/>
        </w:rPr>
      </w:pPr>
      <w:r w:rsidRPr="00E67446">
        <w:rPr>
          <w:rFonts w:eastAsia="方正黑体_GBK" w:hint="eastAsia"/>
        </w:rPr>
        <w:t>二、构建多元投入格局</w:t>
      </w:r>
    </w:p>
    <w:p w:rsidR="00F6098D" w:rsidRPr="00E67446" w:rsidRDefault="00F6098D" w:rsidP="00F6098D">
      <w:pPr>
        <w:spacing w:line="600" w:lineRule="exact"/>
        <w:ind w:firstLineChars="200" w:firstLine="640"/>
      </w:pPr>
      <w:r w:rsidRPr="00E67446">
        <w:rPr>
          <w:rFonts w:hint="eastAsia"/>
        </w:rPr>
        <w:t>各区县要以落实“三到位”为前提，坚持建设标准不降低，因地制宜布局工程，合理确定建设内容和工程造价。要拓宽资金筹措渠道，完善多元化投入保障机制，通过“财政补助</w:t>
      </w:r>
      <w:r w:rsidRPr="00E67446">
        <w:rPr>
          <w:rFonts w:hint="eastAsia"/>
        </w:rPr>
        <w:t>+</w:t>
      </w:r>
      <w:r w:rsidRPr="00E67446">
        <w:rPr>
          <w:rFonts w:hint="eastAsia"/>
        </w:rPr>
        <w:t>经营主体投入”的方式落实保障建设资金。</w:t>
      </w:r>
      <w:r w:rsidRPr="00E67446">
        <w:rPr>
          <w:rFonts w:hint="eastAsia"/>
        </w:rPr>
        <w:t>2024</w:t>
      </w:r>
      <w:r w:rsidRPr="00E67446">
        <w:rPr>
          <w:rFonts w:hint="eastAsia"/>
        </w:rPr>
        <w:t>年高标准农田建设项目财政补助标准统一为</w:t>
      </w:r>
      <w:r w:rsidRPr="00E67446">
        <w:rPr>
          <w:rFonts w:hint="eastAsia"/>
        </w:rPr>
        <w:t>2500</w:t>
      </w:r>
      <w:r w:rsidRPr="00E67446">
        <w:rPr>
          <w:rFonts w:hint="eastAsia"/>
        </w:rPr>
        <w:t>元</w:t>
      </w:r>
      <w:r w:rsidRPr="00E67446">
        <w:rPr>
          <w:rFonts w:hint="eastAsia"/>
        </w:rPr>
        <w:t>/</w:t>
      </w:r>
      <w:r w:rsidRPr="00E67446">
        <w:rPr>
          <w:rFonts w:hint="eastAsia"/>
        </w:rPr>
        <w:t>亩，超出财政补助标准部分的资金由经营主体自筹。扣除中央补助资金后，对于差额部分：增发国债项目由市级财政承担；中</w:t>
      </w:r>
      <w:r w:rsidRPr="00E67446">
        <w:rPr>
          <w:rFonts w:hint="eastAsia"/>
        </w:rPr>
        <w:lastRenderedPageBreak/>
        <w:t>央补助项目和中央预算内项目由市和区县财政按</w:t>
      </w:r>
      <w:r w:rsidRPr="00E67446">
        <w:rPr>
          <w:rFonts w:hint="eastAsia"/>
        </w:rPr>
        <w:t>1</w:t>
      </w:r>
      <w:r w:rsidRPr="00E67446">
        <w:rPr>
          <w:rFonts w:hint="eastAsia"/>
        </w:rPr>
        <w:t>：</w:t>
      </w:r>
      <w:r w:rsidRPr="00E67446">
        <w:rPr>
          <w:rFonts w:hint="eastAsia"/>
        </w:rPr>
        <w:t>1</w:t>
      </w:r>
      <w:r w:rsidRPr="00E67446">
        <w:rPr>
          <w:rFonts w:hint="eastAsia"/>
        </w:rPr>
        <w:t>比例分别承担（</w:t>
      </w:r>
      <w:r w:rsidRPr="00E67446">
        <w:rPr>
          <w:rFonts w:hint="eastAsia"/>
        </w:rPr>
        <w:t>2024</w:t>
      </w:r>
      <w:r w:rsidRPr="00E67446">
        <w:rPr>
          <w:rFonts w:hint="eastAsia"/>
        </w:rPr>
        <w:t>年产粮大县不承担）。市和区县财政资金根据项目实施进度、招标后的实际资金需求等据实安排。要严格遵守穿透式债务风险管控要求，严禁将财政补助资金等作为经营主体自筹部分银行贷款的还本付息来源（按规定享受财政贴息政策的除外）。工程施工费、设备购置费以外的其他费用，遵照从严从紧原则，</w:t>
      </w:r>
      <w:r w:rsidRPr="00E67446">
        <w:t>可以从</w:t>
      </w:r>
      <w:r w:rsidRPr="00E67446">
        <w:rPr>
          <w:rFonts w:hint="eastAsia"/>
        </w:rPr>
        <w:t>市</w:t>
      </w:r>
      <w:r w:rsidRPr="00E67446">
        <w:t>和区县</w:t>
      </w:r>
      <w:r w:rsidRPr="00E67446">
        <w:rPr>
          <w:rFonts w:hint="eastAsia"/>
        </w:rPr>
        <w:t>财政资金中按不高于财政补助资金的</w:t>
      </w:r>
      <w:r w:rsidRPr="00E67446">
        <w:rPr>
          <w:rFonts w:hint="eastAsia"/>
        </w:rPr>
        <w:t>5%</w:t>
      </w:r>
      <w:r w:rsidRPr="00E67446">
        <w:rPr>
          <w:rFonts w:hint="eastAsia"/>
        </w:rPr>
        <w:t>据实列支（不得在中央资金中列支其他费用）。</w:t>
      </w:r>
      <w:r>
        <w:t>各区县财政部门应根据工作需要安排必要的项目支出用于同级农</w:t>
      </w:r>
      <w:r w:rsidR="00BA73DF">
        <w:rPr>
          <w:rFonts w:hint="eastAsia"/>
        </w:rPr>
        <w:t>业</w:t>
      </w:r>
      <w:bookmarkStart w:id="1" w:name="_GoBack"/>
      <w:bookmarkEnd w:id="1"/>
      <w:r>
        <w:t>农村等行业主管部门完成高标准农田建设项目管理工作。</w:t>
      </w:r>
    </w:p>
    <w:p w:rsidR="00F6098D" w:rsidRPr="00E67446" w:rsidRDefault="00F6098D" w:rsidP="00F6098D">
      <w:pPr>
        <w:spacing w:line="600" w:lineRule="exact"/>
        <w:ind w:firstLineChars="200" w:firstLine="640"/>
        <w:rPr>
          <w:rFonts w:eastAsia="方正黑体_GBK" w:hint="eastAsia"/>
        </w:rPr>
      </w:pPr>
      <w:r w:rsidRPr="00E67446">
        <w:rPr>
          <w:rFonts w:eastAsia="方正黑体_GBK" w:hint="eastAsia"/>
        </w:rPr>
        <w:t>三、严格</w:t>
      </w:r>
      <w:r w:rsidRPr="00E67446">
        <w:rPr>
          <w:rFonts w:eastAsia="方正黑体_GBK"/>
        </w:rPr>
        <w:t>抓好</w:t>
      </w:r>
      <w:r w:rsidRPr="00E67446">
        <w:rPr>
          <w:rFonts w:eastAsia="方正黑体_GBK" w:hint="eastAsia"/>
        </w:rPr>
        <w:t>资金管理</w:t>
      </w:r>
    </w:p>
    <w:p w:rsidR="00F6098D" w:rsidRPr="00E67446" w:rsidRDefault="00F6098D" w:rsidP="00F6098D">
      <w:pPr>
        <w:spacing w:line="600" w:lineRule="exact"/>
        <w:ind w:firstLineChars="200" w:firstLine="640"/>
        <w:rPr>
          <w:rFonts w:hint="eastAsia"/>
        </w:rPr>
      </w:pPr>
      <w:r w:rsidRPr="00E67446">
        <w:rPr>
          <w:rFonts w:hint="eastAsia"/>
        </w:rPr>
        <w:t>各区县、</w:t>
      </w:r>
      <w:r w:rsidRPr="00E67446">
        <w:t>各</w:t>
      </w:r>
      <w:r w:rsidRPr="00E67446">
        <w:rPr>
          <w:rFonts w:hint="eastAsia"/>
        </w:rPr>
        <w:t>单位</w:t>
      </w:r>
      <w:r w:rsidRPr="00E67446">
        <w:t>要</w:t>
      </w:r>
      <w:r w:rsidRPr="00E67446">
        <w:rPr>
          <w:rFonts w:hint="eastAsia"/>
        </w:rPr>
        <w:t>严格按照《重庆市农田建设补助资金管理实施细则》（渝财农〔</w:t>
      </w:r>
      <w:r w:rsidRPr="00E67446">
        <w:rPr>
          <w:rFonts w:hint="eastAsia"/>
        </w:rPr>
        <w:t>2023</w:t>
      </w:r>
      <w:r w:rsidRPr="00E67446">
        <w:rPr>
          <w:rFonts w:hint="eastAsia"/>
        </w:rPr>
        <w:t>〕</w:t>
      </w:r>
      <w:r w:rsidRPr="00E67446">
        <w:rPr>
          <w:rFonts w:hint="eastAsia"/>
        </w:rPr>
        <w:t>73</w:t>
      </w:r>
      <w:r w:rsidRPr="00E67446">
        <w:rPr>
          <w:rFonts w:hint="eastAsia"/>
        </w:rPr>
        <w:t>号）及其</w:t>
      </w:r>
      <w:r w:rsidRPr="00E67446">
        <w:t>补充规定、</w:t>
      </w:r>
      <w:r w:rsidRPr="00E67446">
        <w:rPr>
          <w:rFonts w:hint="eastAsia"/>
        </w:rPr>
        <w:t>《关于加强增发国债高标准农田建设项目投资和管理工作的通知》（渝农发〔</w:t>
      </w:r>
      <w:r w:rsidRPr="00E67446">
        <w:rPr>
          <w:rFonts w:hint="eastAsia"/>
        </w:rPr>
        <w:t>2024</w:t>
      </w:r>
      <w:r w:rsidRPr="00E67446">
        <w:rPr>
          <w:rFonts w:hint="eastAsia"/>
        </w:rPr>
        <w:t>〕</w:t>
      </w:r>
      <w:r w:rsidRPr="00E67446">
        <w:rPr>
          <w:rFonts w:hint="eastAsia"/>
        </w:rPr>
        <w:t>45</w:t>
      </w:r>
      <w:r w:rsidRPr="00E67446">
        <w:rPr>
          <w:rFonts w:hint="eastAsia"/>
        </w:rPr>
        <w:t>号）、</w:t>
      </w:r>
      <w:r w:rsidRPr="00E67446">
        <w:t>《</w:t>
      </w:r>
      <w:r w:rsidRPr="00E67446">
        <w:rPr>
          <w:rFonts w:hint="eastAsia"/>
        </w:rPr>
        <w:t>关于进一步规范增发国债资金拨付的通知</w:t>
      </w:r>
      <w:r w:rsidRPr="00E67446">
        <w:t>》</w:t>
      </w:r>
      <w:r w:rsidRPr="00E67446">
        <w:rPr>
          <w:rFonts w:hint="eastAsia"/>
        </w:rPr>
        <w:t>（财渝监〔</w:t>
      </w:r>
      <w:r w:rsidRPr="00E67446">
        <w:rPr>
          <w:rFonts w:hint="eastAsia"/>
        </w:rPr>
        <w:t>2024</w:t>
      </w:r>
      <w:r w:rsidRPr="00E67446">
        <w:rPr>
          <w:rFonts w:hint="eastAsia"/>
        </w:rPr>
        <w:t>〕</w:t>
      </w:r>
      <w:r w:rsidRPr="00E67446">
        <w:rPr>
          <w:rFonts w:hint="eastAsia"/>
        </w:rPr>
        <w:t>111</w:t>
      </w:r>
      <w:r w:rsidRPr="00E67446">
        <w:rPr>
          <w:rFonts w:hint="eastAsia"/>
        </w:rPr>
        <w:t>号）、《关于进一步加强增发国债涉农项目和高标准农田建设资金管理工作的通知》（渝财农〔</w:t>
      </w:r>
      <w:r w:rsidRPr="00E67446">
        <w:rPr>
          <w:rFonts w:hint="eastAsia"/>
        </w:rPr>
        <w:t>2024</w:t>
      </w:r>
      <w:r w:rsidRPr="00E67446">
        <w:rPr>
          <w:rFonts w:hint="eastAsia"/>
        </w:rPr>
        <w:t>〕</w:t>
      </w:r>
      <w:r w:rsidRPr="00E67446">
        <w:rPr>
          <w:rFonts w:hint="eastAsia"/>
        </w:rPr>
        <w:t>51</w:t>
      </w:r>
      <w:r w:rsidRPr="00E67446">
        <w:rPr>
          <w:rFonts w:hint="eastAsia"/>
        </w:rPr>
        <w:t>号）等规定</w:t>
      </w:r>
      <w:r w:rsidRPr="00E67446">
        <w:t>和要求，</w:t>
      </w:r>
      <w:r w:rsidRPr="00E67446">
        <w:rPr>
          <w:rFonts w:hint="eastAsia"/>
        </w:rPr>
        <w:t>切实</w:t>
      </w:r>
      <w:r w:rsidRPr="00E67446">
        <w:t>做好</w:t>
      </w:r>
      <w:r w:rsidRPr="00E67446">
        <w:rPr>
          <w:rFonts w:hint="eastAsia"/>
        </w:rPr>
        <w:t>2024</w:t>
      </w:r>
      <w:r w:rsidRPr="00E67446">
        <w:rPr>
          <w:rFonts w:hint="eastAsia"/>
        </w:rPr>
        <w:t>年高标准农田建设项目资金管理和</w:t>
      </w:r>
      <w:r w:rsidRPr="00E67446">
        <w:t>使用工作</w:t>
      </w:r>
      <w:r w:rsidRPr="00E67446">
        <w:rPr>
          <w:rFonts w:hint="eastAsia"/>
        </w:rPr>
        <w:t>，进一步提高资金使用效益。</w:t>
      </w:r>
    </w:p>
    <w:p w:rsidR="00F6098D" w:rsidRPr="00E67446" w:rsidRDefault="00F6098D" w:rsidP="00F6098D">
      <w:pPr>
        <w:spacing w:line="600" w:lineRule="exact"/>
        <w:ind w:firstLineChars="200" w:firstLine="640"/>
      </w:pPr>
    </w:p>
    <w:p w:rsidR="00F6098D" w:rsidRPr="00E67446" w:rsidRDefault="00F6098D" w:rsidP="00F6098D">
      <w:pPr>
        <w:spacing w:line="600" w:lineRule="exact"/>
        <w:ind w:firstLineChars="200" w:firstLine="640"/>
        <w:rPr>
          <w:rFonts w:hint="eastAsia"/>
        </w:rPr>
      </w:pPr>
    </w:p>
    <w:p w:rsidR="00F6098D" w:rsidRPr="00E67446" w:rsidRDefault="00F6098D" w:rsidP="00F6098D">
      <w:pPr>
        <w:spacing w:line="600" w:lineRule="exact"/>
      </w:pPr>
    </w:p>
    <w:p w:rsidR="00F6098D" w:rsidRPr="00E67446" w:rsidRDefault="00F6098D" w:rsidP="00F6098D">
      <w:pPr>
        <w:spacing w:line="600" w:lineRule="exact"/>
        <w:jc w:val="center"/>
      </w:pPr>
      <w:r w:rsidRPr="00E67446">
        <w:rPr>
          <w:rFonts w:hint="eastAsia"/>
        </w:rPr>
        <w:t>重庆市财政局</w:t>
      </w:r>
      <w:r w:rsidRPr="00E67446">
        <w:rPr>
          <w:rFonts w:hint="eastAsia"/>
        </w:rPr>
        <w:t xml:space="preserve">    </w:t>
      </w:r>
      <w:r w:rsidRPr="00E67446">
        <w:t xml:space="preserve">         </w:t>
      </w:r>
      <w:r w:rsidRPr="00E67446">
        <w:rPr>
          <w:rFonts w:hint="eastAsia"/>
        </w:rPr>
        <w:t xml:space="preserve">    </w:t>
      </w:r>
      <w:r w:rsidRPr="00E67446">
        <w:rPr>
          <w:rFonts w:hint="eastAsia"/>
        </w:rPr>
        <w:t>重庆市发展和改革委员会</w:t>
      </w:r>
    </w:p>
    <w:p w:rsidR="00F6098D" w:rsidRPr="00E67446" w:rsidRDefault="00F6098D" w:rsidP="00F6098D">
      <w:pPr>
        <w:spacing w:line="600" w:lineRule="exact"/>
      </w:pPr>
    </w:p>
    <w:p w:rsidR="00F6098D" w:rsidRPr="00E67446" w:rsidRDefault="00F6098D" w:rsidP="00F6098D">
      <w:pPr>
        <w:spacing w:line="600" w:lineRule="exact"/>
      </w:pPr>
    </w:p>
    <w:p w:rsidR="00F6098D" w:rsidRPr="00E67446" w:rsidRDefault="00F6098D" w:rsidP="00F6098D">
      <w:pPr>
        <w:spacing w:line="600" w:lineRule="exact"/>
      </w:pPr>
    </w:p>
    <w:p w:rsidR="00F6098D" w:rsidRPr="00E67446" w:rsidRDefault="00F6098D" w:rsidP="00F6098D">
      <w:pPr>
        <w:spacing w:line="600" w:lineRule="exact"/>
        <w:jc w:val="center"/>
      </w:pPr>
      <w:r w:rsidRPr="00E67446">
        <w:rPr>
          <w:rFonts w:hint="eastAsia"/>
        </w:rPr>
        <w:t>重庆市农业农村委员会</w:t>
      </w:r>
    </w:p>
    <w:p w:rsidR="00F6098D" w:rsidRPr="00E67446" w:rsidRDefault="00F6098D" w:rsidP="00F6098D">
      <w:pPr>
        <w:spacing w:line="600" w:lineRule="exact"/>
        <w:jc w:val="center"/>
      </w:pPr>
      <w:r w:rsidRPr="00E67446">
        <w:rPr>
          <w:rFonts w:hint="eastAsia"/>
        </w:rPr>
        <w:t>20</w:t>
      </w:r>
      <w:r w:rsidRPr="00E67446">
        <w:t>24</w:t>
      </w:r>
      <w:r w:rsidRPr="00E67446">
        <w:rPr>
          <w:rFonts w:hint="eastAsia"/>
        </w:rPr>
        <w:t>年</w:t>
      </w:r>
      <w:r w:rsidRPr="00E67446">
        <w:t>9</w:t>
      </w:r>
      <w:r w:rsidRPr="00E67446">
        <w:rPr>
          <w:rFonts w:hint="eastAsia"/>
        </w:rPr>
        <w:t>月</w:t>
      </w:r>
      <w:r w:rsidRPr="00E67446">
        <w:t>5</w:t>
      </w:r>
      <w:r w:rsidRPr="00E67446">
        <w:rPr>
          <w:rFonts w:hint="eastAsia"/>
        </w:rPr>
        <w:t>日</w:t>
      </w:r>
    </w:p>
    <w:p w:rsidR="00F6098D" w:rsidRPr="00E67446" w:rsidRDefault="00F6098D" w:rsidP="00F6098D">
      <w:pPr>
        <w:spacing w:line="600" w:lineRule="exact"/>
        <w:ind w:firstLineChars="200" w:firstLine="640"/>
      </w:pPr>
      <w:r w:rsidRPr="00E67446">
        <w:rPr>
          <w:rFonts w:hint="eastAsia"/>
        </w:rPr>
        <w:t>（此件主动公开</w:t>
      </w:r>
      <w:r w:rsidRPr="00E67446">
        <w:t>）</w:t>
      </w:r>
    </w:p>
    <w:p w:rsidR="00F6098D" w:rsidRPr="00E67446" w:rsidRDefault="00F6098D" w:rsidP="00F6098D">
      <w:pPr>
        <w:spacing w:line="600" w:lineRule="exact"/>
      </w:pPr>
    </w:p>
    <w:p w:rsidR="00F6098D" w:rsidRPr="00E67446" w:rsidRDefault="00F6098D" w:rsidP="00F6098D">
      <w:pPr>
        <w:spacing w:line="600" w:lineRule="exact"/>
      </w:pPr>
    </w:p>
    <w:p w:rsidR="0026289F" w:rsidRPr="00CD6191" w:rsidRDefault="0026289F" w:rsidP="00F6098D">
      <w:pPr>
        <w:spacing w:line="578" w:lineRule="exact"/>
        <w:ind w:firstLineChars="200" w:firstLine="640"/>
      </w:pPr>
    </w:p>
    <w:sectPr w:rsidR="0026289F" w:rsidRPr="00CD6191" w:rsidSect="002579B0">
      <w:headerReference w:type="default" r:id="rId7"/>
      <w:footerReference w:type="default" r:id="rId8"/>
      <w:pgSz w:w="11906" w:h="16838"/>
      <w:pgMar w:top="1962" w:right="1247" w:bottom="1848" w:left="124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B03" w:rsidRDefault="00833B03">
      <w:pPr>
        <w:spacing w:line="240" w:lineRule="auto"/>
      </w:pPr>
      <w:r>
        <w:separator/>
      </w:r>
    </w:p>
  </w:endnote>
  <w:endnote w:type="continuationSeparator" w:id="0">
    <w:p w:rsidR="00833B03" w:rsidRDefault="00833B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5338F9DB-7166-49E5-82FF-CB7A4E133387}"/>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10254E6C-8BFC-4167-AF04-40E83DDC1AAA}"/>
  </w:font>
  <w:font w:name="方正黑体_GBK">
    <w:panose1 w:val="03000509000000000000"/>
    <w:charset w:val="86"/>
    <w:family w:val="script"/>
    <w:pitch w:val="fixed"/>
    <w:sig w:usb0="00000001" w:usb1="080E0000" w:usb2="00000010" w:usb3="00000000" w:csb0="00040000" w:csb1="00000000"/>
    <w:embedRegular r:id="rId3" w:subsetted="1" w:fontKey="{24A76383-39E4-4E6A-B135-2030C60A424F}"/>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A73DF">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A73DF">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64A1F99E"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B03" w:rsidRDefault="00833B03">
      <w:pPr>
        <w:spacing w:line="240" w:lineRule="auto"/>
      </w:pPr>
      <w:r>
        <w:separator/>
      </w:r>
    </w:p>
  </w:footnote>
  <w:footnote w:type="continuationSeparator" w:id="0">
    <w:p w:rsidR="00833B03" w:rsidRDefault="00833B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4CFC9B34"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3"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03674D"/>
    <w:rsid w:val="0009287B"/>
    <w:rsid w:val="000D7641"/>
    <w:rsid w:val="000F5AA2"/>
    <w:rsid w:val="00114A8B"/>
    <w:rsid w:val="00141424"/>
    <w:rsid w:val="00172A27"/>
    <w:rsid w:val="001B3E84"/>
    <w:rsid w:val="001C1A28"/>
    <w:rsid w:val="001D0F2C"/>
    <w:rsid w:val="0023614A"/>
    <w:rsid w:val="00242A33"/>
    <w:rsid w:val="002579B0"/>
    <w:rsid w:val="0026289F"/>
    <w:rsid w:val="002A1BC1"/>
    <w:rsid w:val="00353CEE"/>
    <w:rsid w:val="003665F7"/>
    <w:rsid w:val="00385ABA"/>
    <w:rsid w:val="00387E1A"/>
    <w:rsid w:val="003A1EA6"/>
    <w:rsid w:val="003C64BA"/>
    <w:rsid w:val="003D5805"/>
    <w:rsid w:val="003E4E1E"/>
    <w:rsid w:val="00401776"/>
    <w:rsid w:val="00406B88"/>
    <w:rsid w:val="00422805"/>
    <w:rsid w:val="004B0734"/>
    <w:rsid w:val="004D6EEB"/>
    <w:rsid w:val="005020D4"/>
    <w:rsid w:val="005356E8"/>
    <w:rsid w:val="00541D5D"/>
    <w:rsid w:val="00557CFF"/>
    <w:rsid w:val="00584A0E"/>
    <w:rsid w:val="00652E2B"/>
    <w:rsid w:val="00684D4D"/>
    <w:rsid w:val="006A2403"/>
    <w:rsid w:val="00701060"/>
    <w:rsid w:val="0073391F"/>
    <w:rsid w:val="0074297B"/>
    <w:rsid w:val="007A23C2"/>
    <w:rsid w:val="00811547"/>
    <w:rsid w:val="00833B03"/>
    <w:rsid w:val="008E67A8"/>
    <w:rsid w:val="00905EBE"/>
    <w:rsid w:val="00913161"/>
    <w:rsid w:val="00963B3A"/>
    <w:rsid w:val="00987373"/>
    <w:rsid w:val="009B4FAE"/>
    <w:rsid w:val="00A51518"/>
    <w:rsid w:val="00A655D8"/>
    <w:rsid w:val="00A71FE5"/>
    <w:rsid w:val="00AB048A"/>
    <w:rsid w:val="00AD60A3"/>
    <w:rsid w:val="00AE31D2"/>
    <w:rsid w:val="00AF02D3"/>
    <w:rsid w:val="00B079B8"/>
    <w:rsid w:val="00BA73DF"/>
    <w:rsid w:val="00BC3D0B"/>
    <w:rsid w:val="00BC7EFA"/>
    <w:rsid w:val="00C60093"/>
    <w:rsid w:val="00C772EF"/>
    <w:rsid w:val="00C822DE"/>
    <w:rsid w:val="00C90130"/>
    <w:rsid w:val="00CD6191"/>
    <w:rsid w:val="00D57324"/>
    <w:rsid w:val="00D854EB"/>
    <w:rsid w:val="00E92B2C"/>
    <w:rsid w:val="00EB10EE"/>
    <w:rsid w:val="00EE56B3"/>
    <w:rsid w:val="00F45361"/>
    <w:rsid w:val="00F6098D"/>
    <w:rsid w:val="00FE5852"/>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E47621-03D6-40F4-9A10-703AECAA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41424"/>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link w:val="Char"/>
    <w:uiPriority w:val="99"/>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character" w:customStyle="1" w:styleId="Char">
    <w:name w:val="页脚 Char"/>
    <w:link w:val="a6"/>
    <w:uiPriority w:val="99"/>
    <w:rsid w:val="00541D5D"/>
    <w:rPr>
      <w:rFonts w:eastAsia="方正仿宋_GBK"/>
      <w:sz w:val="18"/>
      <w:szCs w:val="32"/>
    </w:rPr>
  </w:style>
  <w:style w:type="character" w:styleId="ab">
    <w:name w:val="Hyperlink"/>
    <w:rsid w:val="004D6E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昌旭</cp:lastModifiedBy>
  <cp:revision>3</cp:revision>
  <cp:lastPrinted>2022-05-12T00:46:00Z</cp:lastPrinted>
  <dcterms:created xsi:type="dcterms:W3CDTF">2024-09-10T10:35:00Z</dcterms:created>
  <dcterms:modified xsi:type="dcterms:W3CDTF">2024-09-10T10:43:00Z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