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7"/>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14:paraId="55F45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9060" w:type="dxa"/>
            <w:tcBorders>
              <w:top w:val="nil"/>
              <w:left w:val="nil"/>
              <w:bottom w:val="nil"/>
              <w:right w:val="nil"/>
            </w:tcBorders>
            <w:noWrap/>
            <w:vAlign w:val="center"/>
          </w:tcPr>
          <w:p w14:paraId="285F3CB0">
            <w:pPr>
              <w:spacing w:line="520" w:lineRule="exact"/>
              <w:rPr>
                <w:rFonts w:ascii="Times New Roman" w:hAnsi="Times New Roman" w:cs="Times New Roman"/>
                <w:sz w:val="13"/>
                <w:szCs w:val="13"/>
              </w:rPr>
            </w:pPr>
          </w:p>
        </w:tc>
      </w:tr>
      <w:tr w14:paraId="32A70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9060" w:type="dxa"/>
            <w:tcBorders>
              <w:top w:val="nil"/>
              <w:left w:val="nil"/>
              <w:bottom w:val="nil"/>
              <w:right w:val="nil"/>
            </w:tcBorders>
            <w:noWrap/>
            <w:vAlign w:val="center"/>
          </w:tcPr>
          <w:p w14:paraId="41CBD04E">
            <w:pPr>
              <w:spacing w:line="520" w:lineRule="exact"/>
              <w:rPr>
                <w:rFonts w:ascii="Times New Roman" w:hAnsi="Times New Roman" w:cs="Times New Roman"/>
              </w:rPr>
            </w:pPr>
          </w:p>
        </w:tc>
      </w:tr>
      <w:tr w14:paraId="28B7D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9060" w:type="dxa"/>
            <w:tcBorders>
              <w:top w:val="nil"/>
              <w:left w:val="nil"/>
              <w:bottom w:val="nil"/>
              <w:right w:val="nil"/>
            </w:tcBorders>
            <w:noWrap/>
            <w:vAlign w:val="center"/>
          </w:tcPr>
          <w:p w14:paraId="22F014F4">
            <w:pPr>
              <w:spacing w:line="520" w:lineRule="exact"/>
              <w:rPr>
                <w:rFonts w:ascii="Times New Roman" w:hAnsi="Times New Roman" w:cs="Times New Roman"/>
              </w:rPr>
            </w:pPr>
          </w:p>
        </w:tc>
      </w:tr>
      <w:tr w14:paraId="2D48B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5" w:hRule="exact"/>
        </w:trPr>
        <w:tc>
          <w:tcPr>
            <w:tcW w:w="9060" w:type="dxa"/>
            <w:tcBorders>
              <w:top w:val="nil"/>
              <w:left w:val="nil"/>
              <w:bottom w:val="nil"/>
              <w:right w:val="nil"/>
            </w:tcBorders>
            <w:noWrap/>
            <w:vAlign w:val="center"/>
          </w:tcPr>
          <w:p w14:paraId="78E39289">
            <w:pPr>
              <w:spacing w:line="1800" w:lineRule="exact"/>
              <w:jc w:val="center"/>
              <w:rPr>
                <w:rFonts w:ascii="Times New Roman" w:hAnsi="Times New Roman" w:eastAsia="方正小标宋_GBK" w:cs="Times New Roman"/>
                <w:b/>
                <w:sz w:val="144"/>
                <w:szCs w:val="144"/>
              </w:rPr>
            </w:pPr>
            <w:r>
              <w:rPr>
                <w:rFonts w:ascii="Times New Roman" w:hAnsi="Times New Roman" w:eastAsia="方正小标宋_GBK" w:cs="Times New Roman"/>
                <w:b/>
                <w:color w:val="FF0000"/>
                <w:w w:val="46"/>
                <w:sz w:val="144"/>
                <w:szCs w:val="144"/>
              </w:rPr>
              <w:t>重庆市开州区招商投资促进局</w:t>
            </w:r>
          </w:p>
        </w:tc>
      </w:tr>
      <w:tr w14:paraId="19C1D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Borders>
              <w:top w:val="nil"/>
              <w:left w:val="nil"/>
              <w:bottom w:val="nil"/>
              <w:right w:val="nil"/>
            </w:tcBorders>
            <w:noWrap/>
            <w:vAlign w:val="center"/>
          </w:tcPr>
          <w:p w14:paraId="08C2C9A5">
            <w:pPr>
              <w:spacing w:line="520" w:lineRule="exact"/>
              <w:rPr>
                <w:rFonts w:ascii="Times New Roman" w:hAnsi="Times New Roman" w:cs="Times New Roman"/>
              </w:rPr>
            </w:pPr>
          </w:p>
        </w:tc>
      </w:tr>
      <w:tr w14:paraId="67AC2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Borders>
              <w:top w:val="nil"/>
              <w:left w:val="nil"/>
              <w:bottom w:val="nil"/>
              <w:right w:val="nil"/>
            </w:tcBorders>
            <w:noWrap/>
            <w:vAlign w:val="center"/>
          </w:tcPr>
          <w:p w14:paraId="03CEB68D">
            <w:pPr>
              <w:spacing w:line="520" w:lineRule="exact"/>
              <w:jc w:val="center"/>
              <w:rPr>
                <w:rFonts w:ascii="Times New Roman" w:hAnsi="Times New Roman" w:eastAsia="方正仿宋_GBK" w:cs="Times New Roman"/>
              </w:rPr>
            </w:pPr>
          </w:p>
        </w:tc>
      </w:tr>
      <w:tr w14:paraId="79603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Borders>
              <w:top w:val="nil"/>
              <w:left w:val="nil"/>
              <w:bottom w:val="single" w:color="FF0000" w:sz="18" w:space="0"/>
              <w:right w:val="nil"/>
            </w:tcBorders>
            <w:noWrap/>
            <w:vAlign w:val="center"/>
          </w:tcPr>
          <w:p w14:paraId="18D52BDB">
            <w:pPr>
              <w:spacing w:line="520" w:lineRule="exact"/>
              <w:ind w:firstLine="320" w:firstLineChars="100"/>
              <w:rPr>
                <w:rFonts w:ascii="Times New Roman" w:hAnsi="Times New Roman" w:eastAsia="方正仿宋_GBK" w:cs="Times New Roman"/>
              </w:rPr>
            </w:pPr>
            <w:r>
              <w:rPr>
                <w:rFonts w:ascii="Times New Roman" w:hAnsi="Times New Roman" w:eastAsia="方正仿宋_GBK" w:cs="Times New Roman"/>
                <w:sz w:val="32"/>
                <w:szCs w:val="32"/>
              </w:rPr>
              <w:t>开州招投文〔202</w:t>
            </w:r>
            <w:r>
              <w:rPr>
                <w:rFonts w:hint="eastAsia" w:ascii="Times New Roman" w:hAnsi="Times New Roman" w:eastAsia="方正仿宋_GBK" w:cs="Times New Roman"/>
                <w:sz w:val="32"/>
                <w:szCs w:val="32"/>
              </w:rPr>
              <w:t>6</w:t>
            </w:r>
            <w:r>
              <w:rPr>
                <w:rFonts w:ascii="Times New Roman" w:hAnsi="Times New Roman" w:eastAsia="方正仿宋_GBK" w:cs="Times New Roman"/>
                <w:sz w:val="32"/>
                <w:szCs w:val="32"/>
              </w:rPr>
              <w:t>〕</w:t>
            </w:r>
            <w:r>
              <w:rPr>
                <w:rFonts w:hint="eastAsia" w:ascii="Times New Roman" w:hAnsi="Times New Roman" w:eastAsia="方正仿宋_GBK" w:cs="Times New Roman"/>
                <w:sz w:val="32"/>
                <w:szCs w:val="32"/>
              </w:rPr>
              <w:t>4</w:t>
            </w:r>
            <w:r>
              <w:rPr>
                <w:rFonts w:ascii="Times New Roman" w:hAnsi="Times New Roman" w:eastAsia="方正仿宋_GBK" w:cs="Times New Roman"/>
                <w:sz w:val="32"/>
                <w:szCs w:val="32"/>
              </w:rPr>
              <w:t>号  签发人：</w:t>
            </w:r>
            <w:r>
              <w:rPr>
                <w:rFonts w:hint="eastAsia" w:ascii="Times New Roman" w:hAnsi="Times New Roman" w:eastAsia="方正楷体_GBK" w:cs="Times New Roman"/>
                <w:sz w:val="32"/>
                <w:szCs w:val="32"/>
              </w:rPr>
              <w:t>王彬</w:t>
            </w:r>
          </w:p>
        </w:tc>
      </w:tr>
      <w:tr w14:paraId="18A67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Borders>
              <w:top w:val="nil"/>
              <w:left w:val="nil"/>
              <w:bottom w:val="nil"/>
              <w:right w:val="nil"/>
            </w:tcBorders>
            <w:noWrap/>
            <w:vAlign w:val="center"/>
          </w:tcPr>
          <w:p w14:paraId="4140002F">
            <w:pPr>
              <w:spacing w:line="580" w:lineRule="exact"/>
              <w:jc w:val="center"/>
              <w:rPr>
                <w:rFonts w:ascii="Times New Roman" w:hAnsi="Times New Roman" w:eastAsia="方正仿宋_GBK" w:cs="Times New Roman"/>
              </w:rPr>
            </w:pPr>
          </w:p>
        </w:tc>
      </w:tr>
    </w:tbl>
    <w:p w14:paraId="7CF92B20">
      <w:pPr>
        <w:jc w:val="center"/>
        <w:rPr>
          <w:rFonts w:ascii="Times New Roman" w:hAnsi="Times New Roman" w:eastAsia="方正小标宋_GBK" w:cs="Times New Roman"/>
          <w:sz w:val="44"/>
          <w:szCs w:val="44"/>
        </w:rPr>
      </w:pPr>
    </w:p>
    <w:p w14:paraId="18BD2A8A">
      <w:pPr>
        <w:pStyle w:val="4"/>
        <w:spacing w:line="560" w:lineRule="exact"/>
        <w:ind w:firstLine="0" w:firstLineChars="0"/>
        <w:jc w:val="center"/>
        <w:rPr>
          <w:rFonts w:ascii="Times New Roman" w:hAnsi="Times New Roman" w:eastAsia="方正小标宋_GBK" w:cs="Times New Roman"/>
          <w:sz w:val="44"/>
          <w:szCs w:val="44"/>
        </w:rPr>
      </w:pPr>
      <w:r>
        <w:rPr>
          <w:rFonts w:ascii="Times New Roman" w:hAnsi="Times New Roman" w:eastAsia="方正小标宋_GBK" w:cs="Times New Roman"/>
          <w:color w:val="000000"/>
          <w:sz w:val="44"/>
          <w:szCs w:val="44"/>
        </w:rPr>
        <w:t>重庆市开州区招商投资促进局（本级）</w:t>
      </w:r>
    </w:p>
    <w:p w14:paraId="679E6FF7">
      <w:pPr>
        <w:spacing w:line="560" w:lineRule="exact"/>
        <w:jc w:val="center"/>
        <w:rPr>
          <w:rFonts w:ascii="Times New Roman" w:hAnsi="Times New Roman" w:eastAsia="方正小标宋_GBK" w:cs="Times New Roman"/>
          <w:sz w:val="44"/>
          <w:szCs w:val="44"/>
        </w:rPr>
      </w:pPr>
      <w:r>
        <w:rPr>
          <w:rFonts w:ascii="Times New Roman" w:hAnsi="Times New Roman" w:eastAsia="方正小标宋_GBK" w:cs="Times New Roman"/>
          <w:sz w:val="44"/>
          <w:szCs w:val="44"/>
        </w:rPr>
        <w:t>关于202</w:t>
      </w:r>
      <w:r>
        <w:rPr>
          <w:rFonts w:hint="eastAsia" w:ascii="Times New Roman" w:hAnsi="Times New Roman" w:eastAsia="方正小标宋_GBK" w:cs="Times New Roman"/>
          <w:sz w:val="44"/>
          <w:szCs w:val="44"/>
        </w:rPr>
        <w:t>6</w:t>
      </w:r>
      <w:r>
        <w:rPr>
          <w:rFonts w:ascii="Times New Roman" w:hAnsi="Times New Roman" w:eastAsia="方正小标宋_GBK" w:cs="Times New Roman"/>
          <w:sz w:val="44"/>
          <w:szCs w:val="44"/>
        </w:rPr>
        <w:t>年部门预算情况公开的公告</w:t>
      </w:r>
    </w:p>
    <w:p w14:paraId="47BD4501">
      <w:pPr>
        <w:spacing w:line="560" w:lineRule="exact"/>
        <w:jc w:val="center"/>
        <w:rPr>
          <w:rFonts w:ascii="Times New Roman" w:hAnsi="Times New Roman" w:eastAsia="方正小标宋_GBK" w:cs="Times New Roman"/>
          <w:sz w:val="44"/>
          <w:szCs w:val="44"/>
        </w:rPr>
      </w:pPr>
    </w:p>
    <w:p w14:paraId="7AF5257B">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按照有关财政预算公开的部署和要求，依据《中华人民共和国政府信息公开条例》（国务院令第492号）和重庆市开州区财政局《关于批复2026年部门预算的通知》（开州财产业发〔2026〕</w:t>
      </w:r>
      <w:r>
        <w:rPr>
          <w:rFonts w:hint="eastAsia" w:ascii="Times New Roman" w:hAnsi="Times New Roman" w:eastAsia="方正仿宋_GBK" w:cs="Times New Roman"/>
          <w:sz w:val="32"/>
          <w:szCs w:val="32"/>
        </w:rPr>
        <w:t>9</w:t>
      </w:r>
      <w:r>
        <w:rPr>
          <w:rFonts w:ascii="Times New Roman" w:hAnsi="Times New Roman" w:eastAsia="方正仿宋_GBK" w:cs="Times New Roman"/>
          <w:sz w:val="32"/>
          <w:szCs w:val="32"/>
        </w:rPr>
        <w:t>号）,现将重庆市开州区招商投资促进局（本级）2026年部门预算批复情况公开如下</w:t>
      </w:r>
      <w:r>
        <w:rPr>
          <w:rFonts w:hint="eastAsia" w:ascii="Times New Roman" w:hAnsi="Times New Roman" w:eastAsia="方正仿宋_GBK" w:cs="Times New Roman"/>
          <w:sz w:val="32"/>
          <w:szCs w:val="32"/>
        </w:rPr>
        <w:t>：</w:t>
      </w:r>
    </w:p>
    <w:p w14:paraId="0EDFBCA3">
      <w:pPr>
        <w:spacing w:line="560" w:lineRule="exact"/>
        <w:jc w:val="center"/>
        <w:rPr>
          <w:rFonts w:ascii="Times New Roman" w:hAnsi="Times New Roman" w:eastAsia="方正黑体_GBK" w:cs="Times New Roman"/>
          <w:sz w:val="32"/>
          <w:szCs w:val="32"/>
        </w:rPr>
      </w:pPr>
    </w:p>
    <w:p w14:paraId="6B0DF731">
      <w:pPr>
        <w:spacing w:line="560" w:lineRule="exact"/>
        <w:jc w:val="center"/>
        <w:rPr>
          <w:rFonts w:ascii="Times New Roman" w:hAnsi="Times New Roman" w:eastAsia="方正黑体_GBK" w:cs="Times New Roman"/>
          <w:sz w:val="32"/>
          <w:szCs w:val="32"/>
        </w:rPr>
      </w:pPr>
    </w:p>
    <w:p w14:paraId="595A78C9">
      <w:pPr>
        <w:spacing w:line="560" w:lineRule="exact"/>
        <w:jc w:val="center"/>
        <w:rPr>
          <w:rFonts w:ascii="Times New Roman" w:hAnsi="Times New Roman" w:eastAsia="方正小标宋_GBK" w:cs="Times New Roman"/>
          <w:sz w:val="44"/>
          <w:szCs w:val="44"/>
        </w:rPr>
      </w:pPr>
    </w:p>
    <w:p w14:paraId="731F8D7A">
      <w:pPr>
        <w:rPr>
          <w:rFonts w:ascii="Times New Roman" w:hAnsi="Times New Roman" w:eastAsia="方正小标宋_GBK" w:cs="Times New Roman"/>
          <w:sz w:val="44"/>
          <w:szCs w:val="44"/>
        </w:rPr>
      </w:pPr>
      <w:r>
        <w:rPr>
          <w:rFonts w:ascii="Times New Roman" w:hAnsi="Times New Roman" w:eastAsia="方正小标宋_GBK" w:cs="Times New Roman"/>
          <w:sz w:val="44"/>
          <w:szCs w:val="44"/>
        </w:rPr>
        <w:br w:type="page"/>
      </w:r>
    </w:p>
    <w:p w14:paraId="2300B103">
      <w:pPr>
        <w:spacing w:line="560" w:lineRule="exact"/>
        <w:jc w:val="center"/>
        <w:rPr>
          <w:rFonts w:ascii="Times New Roman" w:hAnsi="Times New Roman" w:eastAsia="方正小标宋_GBK" w:cs="Times New Roman"/>
          <w:sz w:val="44"/>
          <w:szCs w:val="44"/>
        </w:rPr>
      </w:pPr>
      <w:r>
        <w:rPr>
          <w:rFonts w:ascii="Times New Roman" w:hAnsi="Times New Roman" w:eastAsia="方正小标宋_GBK" w:cs="Times New Roman"/>
          <w:sz w:val="44"/>
          <w:szCs w:val="44"/>
        </w:rPr>
        <w:t>目    录</w:t>
      </w:r>
    </w:p>
    <w:p w14:paraId="39FF06B8">
      <w:pPr>
        <w:spacing w:line="560" w:lineRule="exact"/>
        <w:rPr>
          <w:rFonts w:ascii="Times New Roman" w:hAnsi="Times New Roman" w:cs="Times New Roman"/>
        </w:rPr>
      </w:pPr>
    </w:p>
    <w:p w14:paraId="5EA0AC46">
      <w:pPr>
        <w:spacing w:line="560" w:lineRule="exact"/>
        <w:jc w:val="center"/>
        <w:rPr>
          <w:rFonts w:ascii="Times New Roman" w:hAnsi="Times New Roman" w:eastAsia="方正楷体_GBK" w:cs="Times New Roman"/>
          <w:sz w:val="32"/>
          <w:szCs w:val="32"/>
        </w:rPr>
      </w:pPr>
      <w:r>
        <w:rPr>
          <w:rFonts w:ascii="Times New Roman" w:hAnsi="Times New Roman" w:eastAsia="方正楷体_GBK" w:cs="Times New Roman"/>
          <w:sz w:val="32"/>
          <w:szCs w:val="32"/>
        </w:rPr>
        <w:t>第一部分：202</w:t>
      </w:r>
      <w:r>
        <w:rPr>
          <w:rFonts w:hint="eastAsia" w:ascii="Times New Roman" w:hAnsi="Times New Roman" w:eastAsia="方正楷体_GBK" w:cs="Times New Roman"/>
          <w:sz w:val="32"/>
          <w:szCs w:val="32"/>
        </w:rPr>
        <w:t>6</w:t>
      </w:r>
      <w:r>
        <w:rPr>
          <w:rFonts w:ascii="Times New Roman" w:hAnsi="Times New Roman" w:eastAsia="方正楷体_GBK" w:cs="Times New Roman"/>
          <w:sz w:val="32"/>
          <w:szCs w:val="32"/>
        </w:rPr>
        <w:t>年部门预算情况说明</w:t>
      </w:r>
    </w:p>
    <w:p w14:paraId="524D1D0A">
      <w:pPr>
        <w:spacing w:line="560" w:lineRule="exact"/>
        <w:rPr>
          <w:rFonts w:ascii="Times New Roman" w:hAnsi="Times New Roman" w:cs="Times New Roman"/>
        </w:rPr>
      </w:pPr>
    </w:p>
    <w:p w14:paraId="048684FB">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一、单位基本情况</w:t>
      </w:r>
    </w:p>
    <w:p w14:paraId="2FE58092">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二、部门收支总体情况</w:t>
      </w:r>
    </w:p>
    <w:p w14:paraId="562C2E50">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三、部门预算情况说明</w:t>
      </w:r>
    </w:p>
    <w:p w14:paraId="4C41258E">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四、“三公”经费情况说明</w:t>
      </w:r>
    </w:p>
    <w:p w14:paraId="03988928">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五、其他重要事项的情况说明</w:t>
      </w:r>
    </w:p>
    <w:p w14:paraId="57D4EF66">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六、专业性名词解释</w:t>
      </w:r>
    </w:p>
    <w:p w14:paraId="7DF913A4">
      <w:pPr>
        <w:spacing w:line="560" w:lineRule="exact"/>
        <w:rPr>
          <w:rFonts w:ascii="Times New Roman" w:hAnsi="Times New Roman" w:eastAsia="方正仿宋_GBK" w:cs="Times New Roman"/>
          <w:sz w:val="32"/>
          <w:szCs w:val="32"/>
        </w:rPr>
      </w:pPr>
    </w:p>
    <w:p w14:paraId="7C330E68">
      <w:pPr>
        <w:spacing w:line="560" w:lineRule="exact"/>
        <w:jc w:val="center"/>
        <w:rPr>
          <w:rFonts w:ascii="Times New Roman" w:hAnsi="Times New Roman" w:eastAsia="方正楷体_GBK" w:cs="Times New Roman"/>
          <w:sz w:val="32"/>
          <w:szCs w:val="32"/>
        </w:rPr>
      </w:pPr>
      <w:r>
        <w:rPr>
          <w:rFonts w:ascii="Times New Roman" w:hAnsi="Times New Roman" w:eastAsia="方正楷体_GBK" w:cs="Times New Roman"/>
          <w:sz w:val="32"/>
          <w:szCs w:val="32"/>
        </w:rPr>
        <w:t>第二部分：202</w:t>
      </w:r>
      <w:r>
        <w:rPr>
          <w:rFonts w:hint="eastAsia" w:ascii="Times New Roman" w:hAnsi="Times New Roman" w:eastAsia="方正楷体_GBK" w:cs="Times New Roman"/>
          <w:sz w:val="32"/>
          <w:szCs w:val="32"/>
        </w:rPr>
        <w:t>6</w:t>
      </w:r>
      <w:r>
        <w:rPr>
          <w:rFonts w:ascii="Times New Roman" w:hAnsi="Times New Roman" w:eastAsia="方正楷体_GBK" w:cs="Times New Roman"/>
          <w:sz w:val="32"/>
          <w:szCs w:val="32"/>
        </w:rPr>
        <w:t>年部门预算公开报表</w:t>
      </w:r>
    </w:p>
    <w:p w14:paraId="431AB214">
      <w:pPr>
        <w:spacing w:line="560" w:lineRule="exact"/>
        <w:rPr>
          <w:rFonts w:ascii="Times New Roman" w:hAnsi="Times New Roman" w:cs="Times New Roman"/>
        </w:rPr>
      </w:pPr>
    </w:p>
    <w:p w14:paraId="507A1324">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表1、重庆市开州区招商投资促进局（本级）收支预算总表</w:t>
      </w:r>
    </w:p>
    <w:p w14:paraId="3FD53BC7">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表2、重庆市开州区招商投资促进局（本级）收入总表</w:t>
      </w:r>
    </w:p>
    <w:p w14:paraId="29C11CBD">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表3、重庆市开州区招商投资促进局（本级）本年支出预算总表</w:t>
      </w:r>
    </w:p>
    <w:p w14:paraId="1338C34B">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表4、重庆市开州区招商投资促进局（本级）财政拨款收支预算总表</w:t>
      </w:r>
    </w:p>
    <w:p w14:paraId="7AE99637">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表5、重庆市开州区招商投资促进局（本级）本年一般公共预算支出预算表</w:t>
      </w:r>
    </w:p>
    <w:p w14:paraId="045071DF">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表6、重庆市开州区招商投资促进局（本级）一般公共预算基本支出预算表</w:t>
      </w:r>
    </w:p>
    <w:p w14:paraId="473ED0BB">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表7、重庆市开州区招商投资促进局（本级）一般公共预算“三公”经费支出预算表</w:t>
      </w:r>
    </w:p>
    <w:p w14:paraId="7537A451">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表8、重庆市开州区招商投资促进局（本级）政府性基金预算支出预算表</w:t>
      </w:r>
    </w:p>
    <w:p w14:paraId="226FB042">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表9、重庆市开州区招商投资促进局（本级）国有资本经营预算支出预算表</w:t>
      </w:r>
    </w:p>
    <w:p w14:paraId="6701DC6C">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表10、重庆市开州区招商投资促进局（本级）项目支出表</w:t>
      </w:r>
    </w:p>
    <w:p w14:paraId="1A5D87CB">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表11、202</w:t>
      </w:r>
      <w:r>
        <w:rPr>
          <w:rFonts w:hint="eastAsia" w:ascii="Times New Roman" w:hAnsi="Times New Roman" w:eastAsia="方正仿宋_GBK" w:cs="Times New Roman"/>
          <w:sz w:val="32"/>
          <w:szCs w:val="32"/>
        </w:rPr>
        <w:t>6</w:t>
      </w:r>
      <w:r>
        <w:rPr>
          <w:rFonts w:ascii="Times New Roman" w:hAnsi="Times New Roman" w:eastAsia="方正仿宋_GBK" w:cs="Times New Roman"/>
          <w:sz w:val="32"/>
          <w:szCs w:val="32"/>
        </w:rPr>
        <w:t>年重庆市开州区招商投资促进局（本级）项目绩效目标表</w:t>
      </w:r>
    </w:p>
    <w:p w14:paraId="0653C7D9">
      <w:pPr>
        <w:spacing w:line="560" w:lineRule="exact"/>
        <w:rPr>
          <w:rFonts w:ascii="Times New Roman" w:hAnsi="Times New Roman" w:eastAsia="方正仿宋_GBK" w:cs="Times New Roman"/>
          <w:sz w:val="32"/>
          <w:szCs w:val="32"/>
        </w:rPr>
      </w:pPr>
    </w:p>
    <w:p w14:paraId="2CB63B86">
      <w:pPr>
        <w:spacing w:line="560" w:lineRule="exact"/>
        <w:rPr>
          <w:rFonts w:ascii="Times New Roman" w:hAnsi="Times New Roman" w:cs="Times New Roman"/>
        </w:rPr>
      </w:pPr>
    </w:p>
    <w:p w14:paraId="1720203E">
      <w:pPr>
        <w:spacing w:line="560" w:lineRule="exact"/>
        <w:rPr>
          <w:rFonts w:ascii="Times New Roman" w:hAnsi="Times New Roman" w:cs="Times New Roman"/>
        </w:rPr>
      </w:pPr>
    </w:p>
    <w:p w14:paraId="3B217E41">
      <w:pPr>
        <w:spacing w:line="560" w:lineRule="exact"/>
        <w:rPr>
          <w:rFonts w:ascii="Times New Roman" w:hAnsi="Times New Roman" w:cs="Times New Roman"/>
        </w:rPr>
      </w:pPr>
    </w:p>
    <w:p w14:paraId="4552467F">
      <w:pPr>
        <w:spacing w:line="560" w:lineRule="exact"/>
        <w:rPr>
          <w:rFonts w:ascii="Times New Roman" w:hAnsi="Times New Roman" w:cs="Times New Roman"/>
        </w:rPr>
      </w:pPr>
    </w:p>
    <w:p w14:paraId="06413E67">
      <w:pPr>
        <w:spacing w:line="560" w:lineRule="exact"/>
        <w:rPr>
          <w:rFonts w:ascii="Times New Roman" w:hAnsi="Times New Roman" w:cs="Times New Roman"/>
        </w:rPr>
      </w:pPr>
    </w:p>
    <w:p w14:paraId="20439939">
      <w:pPr>
        <w:spacing w:line="560" w:lineRule="exact"/>
        <w:rPr>
          <w:rFonts w:ascii="Times New Roman" w:hAnsi="Times New Roman" w:cs="Times New Roman"/>
        </w:rPr>
      </w:pPr>
    </w:p>
    <w:p w14:paraId="04A61888">
      <w:pPr>
        <w:spacing w:line="560" w:lineRule="exact"/>
        <w:jc w:val="center"/>
        <w:rPr>
          <w:rFonts w:ascii="Times New Roman" w:hAnsi="Times New Roman" w:eastAsia="方正小标宋_GBK" w:cs="Times New Roman"/>
          <w:sz w:val="44"/>
          <w:szCs w:val="44"/>
        </w:rPr>
      </w:pPr>
      <w:r>
        <w:rPr>
          <w:rFonts w:ascii="Times New Roman" w:hAnsi="Times New Roman" w:eastAsia="方正小标宋_GBK" w:cs="Times New Roman"/>
          <w:sz w:val="44"/>
          <w:szCs w:val="44"/>
        </w:rPr>
        <w:br w:type="page"/>
      </w:r>
      <w:r>
        <w:rPr>
          <w:rFonts w:ascii="Times New Roman" w:hAnsi="Times New Roman" w:eastAsia="方正小标宋_GBK" w:cs="Times New Roman"/>
          <w:sz w:val="44"/>
          <w:szCs w:val="44"/>
        </w:rPr>
        <w:t>第一部分：202</w:t>
      </w:r>
      <w:r>
        <w:rPr>
          <w:rFonts w:hint="eastAsia" w:ascii="Times New Roman" w:hAnsi="Times New Roman" w:eastAsia="方正小标宋_GBK" w:cs="Times New Roman"/>
          <w:sz w:val="44"/>
          <w:szCs w:val="44"/>
        </w:rPr>
        <w:t>6</w:t>
      </w:r>
      <w:r>
        <w:rPr>
          <w:rFonts w:ascii="Times New Roman" w:hAnsi="Times New Roman" w:eastAsia="方正小标宋_GBK" w:cs="Times New Roman"/>
          <w:sz w:val="44"/>
          <w:szCs w:val="44"/>
        </w:rPr>
        <w:t>年部门预算情况说明</w:t>
      </w:r>
    </w:p>
    <w:p w14:paraId="33BA877D">
      <w:pPr>
        <w:spacing w:line="560" w:lineRule="exact"/>
        <w:ind w:firstLine="640" w:firstLineChars="200"/>
        <w:jc w:val="center"/>
        <w:rPr>
          <w:rFonts w:ascii="Times New Roman" w:hAnsi="Times New Roman" w:eastAsia="华文中宋" w:cs="Times New Roman"/>
          <w:sz w:val="32"/>
          <w:szCs w:val="32"/>
        </w:rPr>
      </w:pPr>
    </w:p>
    <w:p w14:paraId="325CB16D">
      <w:pPr>
        <w:spacing w:line="56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一、单位基本情况</w:t>
      </w:r>
    </w:p>
    <w:p w14:paraId="3CCEC25A">
      <w:pPr>
        <w:spacing w:line="560" w:lineRule="exact"/>
        <w:ind w:firstLine="640" w:firstLineChars="200"/>
        <w:rPr>
          <w:rFonts w:ascii="Times New Roman" w:hAnsi="Times New Roman" w:eastAsia="方正楷体_GBK" w:cs="Times New Roman"/>
          <w:sz w:val="32"/>
        </w:rPr>
      </w:pPr>
      <w:r>
        <w:rPr>
          <w:rFonts w:ascii="Times New Roman" w:hAnsi="Times New Roman" w:eastAsia="方正楷体_GBK" w:cs="Times New Roman"/>
          <w:sz w:val="32"/>
        </w:rPr>
        <w:t>（一）职能职责</w:t>
      </w:r>
    </w:p>
    <w:p w14:paraId="5745BF62">
      <w:pPr>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sz w:val="32"/>
          <w:szCs w:val="32"/>
        </w:rPr>
        <w:t>重庆市开州区招商投资促进局（本级）</w:t>
      </w:r>
      <w:r>
        <w:rPr>
          <w:rFonts w:ascii="Times New Roman" w:hAnsi="Times New Roman" w:eastAsia="方正仿宋_GBK" w:cs="Times New Roman"/>
          <w:color w:val="000000"/>
          <w:sz w:val="32"/>
          <w:szCs w:val="32"/>
        </w:rPr>
        <w:t>的主要职责是：</w:t>
      </w:r>
    </w:p>
    <w:p w14:paraId="539C738F">
      <w:pPr>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1、贯彻执行国家及市级有关利用内外资和投资促进的方针政策和法律、法规、规章。负责统筹、指导、协调和督促全区内外资招商投资促进工作。</w:t>
      </w:r>
    </w:p>
    <w:p w14:paraId="585B252C">
      <w:pPr>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2、负责组织研究招商投资促进政策。负责组织拟订全区招商投资促进发展中长期规划和招商投资促进政策及措施并组织实施。</w:t>
      </w:r>
    </w:p>
    <w:p w14:paraId="79D9FDA2">
      <w:pPr>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3、负责制定全区招商投资促进年度工作计划并组织实施。负责编制、分解、下达全区招商引资目标任务。负责起草制定全区招商投资促进考核办法并组织实施。</w:t>
      </w:r>
    </w:p>
    <w:p w14:paraId="5FE31270">
      <w:pPr>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4、负责对外宣传全区投资环境，牵头包装推介全区重点产业、重大招商项目。组织开展与大型企业和知名机构的投资促进战略合作。</w:t>
      </w:r>
    </w:p>
    <w:p w14:paraId="7F5B618C">
      <w:pPr>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5、负责统筹协调区域经济合作中有关重大招商项目的协调推进相关工作。</w:t>
      </w:r>
    </w:p>
    <w:p w14:paraId="6EFB9043">
      <w:pPr>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6、负责全区招商引资项目的信息收集、论证、推介、洽谈、推进等工作，组织承办各类招商引资洽谈会、项目推介会等大型投资促进活动。负责跟踪、协调签约项目前期工作，直至落地为止。</w:t>
      </w:r>
    </w:p>
    <w:p w14:paraId="647A0984">
      <w:pPr>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7、负责督促、检查招商投资促进政策的执行情况；负责督查督办重大招商项目实施情况，协调解决招商重大问题；受理和协调处理外来投资者的投诉。</w:t>
      </w:r>
    </w:p>
    <w:p w14:paraId="3D0D0D79">
      <w:pPr>
        <w:spacing w:line="560" w:lineRule="exact"/>
        <w:ind w:firstLine="640" w:firstLineChars="200"/>
        <w:rPr>
          <w:rFonts w:ascii="Times New Roman" w:hAnsi="Times New Roman" w:eastAsia="方正仿宋_GBK" w:cs="Times New Roman"/>
          <w:sz w:val="32"/>
        </w:rPr>
      </w:pPr>
      <w:r>
        <w:rPr>
          <w:rFonts w:ascii="Times New Roman" w:hAnsi="Times New Roman" w:eastAsia="方正仿宋_GBK" w:cs="Times New Roman"/>
          <w:color w:val="000000"/>
          <w:sz w:val="32"/>
          <w:szCs w:val="32"/>
        </w:rPr>
        <w:t>8、负责建立全区招商投资促进工作信息报送和统计机制；负责全区招商引资人才队伍建设。</w:t>
      </w:r>
    </w:p>
    <w:p w14:paraId="7AA9E496">
      <w:pPr>
        <w:pStyle w:val="10"/>
        <w:tabs>
          <w:tab w:val="center" w:pos="4153"/>
          <w:tab w:val="left" w:pos="7275"/>
        </w:tabs>
        <w:spacing w:line="560" w:lineRule="exact"/>
        <w:ind w:firstLine="640"/>
        <w:jc w:val="left"/>
        <w:rPr>
          <w:rFonts w:ascii="Times New Roman" w:hAnsi="Times New Roman" w:eastAsia="方正楷体_GBK" w:cs="Times New Roman"/>
          <w:sz w:val="32"/>
        </w:rPr>
      </w:pPr>
      <w:r>
        <w:rPr>
          <w:rFonts w:ascii="Times New Roman" w:hAnsi="Times New Roman" w:eastAsia="方正楷体_GBK" w:cs="Times New Roman"/>
          <w:sz w:val="32"/>
        </w:rPr>
        <w:t>（二）单位构成</w:t>
      </w:r>
    </w:p>
    <w:p w14:paraId="145828E9">
      <w:pPr>
        <w:pStyle w:val="10"/>
        <w:tabs>
          <w:tab w:val="center" w:pos="4153"/>
          <w:tab w:val="left" w:pos="7275"/>
        </w:tabs>
        <w:spacing w:line="560" w:lineRule="exact"/>
        <w:ind w:firstLine="640"/>
        <w:jc w:val="left"/>
        <w:rPr>
          <w:rFonts w:ascii="Times New Roman" w:hAnsi="Times New Roman" w:eastAsia="方正仿宋_GBK" w:cs="Times New Roman"/>
          <w:sz w:val="32"/>
        </w:rPr>
      </w:pPr>
      <w:r>
        <w:rPr>
          <w:rFonts w:ascii="Times New Roman" w:hAnsi="Times New Roman" w:eastAsia="方正仿宋_GBK" w:cs="Times New Roman"/>
          <w:sz w:val="32"/>
          <w:szCs w:val="32"/>
        </w:rPr>
        <w:t>重庆市开州区招商投资促进局（本级）</w:t>
      </w:r>
      <w:r>
        <w:rPr>
          <w:rFonts w:ascii="Times New Roman" w:hAnsi="Times New Roman" w:eastAsia="方正仿宋_GBK" w:cs="Times New Roman"/>
          <w:sz w:val="32"/>
        </w:rPr>
        <w:t>内设三个机构科室，分别是党政办公室、招商促进一科、招商促进二科。下属一个二级预算单位为重庆市开州区招商投资促进服务中心。</w:t>
      </w:r>
    </w:p>
    <w:p w14:paraId="6DBE7FF4">
      <w:pPr>
        <w:spacing w:line="560" w:lineRule="exact"/>
        <w:ind w:firstLine="640" w:firstLineChars="200"/>
        <w:rPr>
          <w:rFonts w:ascii="Times New Roman" w:hAnsi="Times New Roman" w:eastAsia="方正仿宋_GBK" w:cs="Times New Roman"/>
          <w:sz w:val="32"/>
        </w:rPr>
      </w:pPr>
      <w:r>
        <w:rPr>
          <w:rFonts w:ascii="Times New Roman" w:hAnsi="Times New Roman" w:eastAsia="方正黑体_GBK" w:cs="Times New Roman"/>
          <w:sz w:val="32"/>
        </w:rPr>
        <w:t>二、部门收支总体情况</w:t>
      </w:r>
    </w:p>
    <w:p w14:paraId="600D2AB4">
      <w:pPr>
        <w:spacing w:line="600" w:lineRule="exact"/>
        <w:ind w:firstLine="640" w:firstLineChars="200"/>
        <w:rPr>
          <w:rFonts w:ascii="Times New Roman" w:hAnsi="Times New Roman" w:eastAsia="方正仿宋_GBK" w:cs="Times New Roman"/>
          <w:sz w:val="32"/>
        </w:rPr>
      </w:pPr>
      <w:r>
        <w:rPr>
          <w:rFonts w:ascii="Times New Roman" w:hAnsi="Times New Roman" w:eastAsia="方正楷体_GBK" w:cs="Times New Roman"/>
          <w:sz w:val="32"/>
        </w:rPr>
        <w:t>（一）收入预算：</w:t>
      </w:r>
      <w:r>
        <w:rPr>
          <w:rFonts w:ascii="Times New Roman" w:hAnsi="Times New Roman" w:eastAsia="方正仿宋_GBK" w:cs="Times New Roman"/>
          <w:sz w:val="32"/>
        </w:rPr>
        <w:t>202</w:t>
      </w:r>
      <w:r>
        <w:rPr>
          <w:rFonts w:hint="eastAsia" w:ascii="Times New Roman" w:hAnsi="Times New Roman" w:eastAsia="方正仿宋_GBK" w:cs="Times New Roman"/>
          <w:sz w:val="32"/>
        </w:rPr>
        <w:t>6</w:t>
      </w:r>
      <w:r>
        <w:rPr>
          <w:rFonts w:ascii="Times New Roman" w:hAnsi="Times New Roman" w:eastAsia="方正仿宋_GBK" w:cs="Times New Roman"/>
          <w:sz w:val="32"/>
        </w:rPr>
        <w:t>年年初预算数</w:t>
      </w:r>
      <w:r>
        <w:rPr>
          <w:rFonts w:hint="eastAsia" w:ascii="Times New Roman" w:hAnsi="Times New Roman" w:eastAsia="方正仿宋_GBK" w:cs="Times New Roman"/>
          <w:sz w:val="32"/>
        </w:rPr>
        <w:t>1154.15</w:t>
      </w:r>
      <w:r>
        <w:rPr>
          <w:rFonts w:ascii="Times New Roman" w:hAnsi="Times New Roman" w:eastAsia="方正仿宋_GBK" w:cs="Times New Roman"/>
          <w:sz w:val="32"/>
        </w:rPr>
        <w:t>万元，上年结转</w:t>
      </w:r>
      <w:r>
        <w:rPr>
          <w:rFonts w:hint="eastAsia" w:ascii="Times New Roman" w:hAnsi="Times New Roman" w:eastAsia="方正仿宋_GBK" w:cs="Times New Roman"/>
          <w:sz w:val="32"/>
        </w:rPr>
        <w:t>0</w:t>
      </w:r>
      <w:r>
        <w:rPr>
          <w:rFonts w:ascii="Times New Roman" w:hAnsi="Times New Roman" w:eastAsia="方正仿宋_GBK" w:cs="Times New Roman"/>
          <w:sz w:val="32"/>
        </w:rPr>
        <w:t>万元，其中：一般公共预算拨款</w:t>
      </w:r>
      <w:r>
        <w:rPr>
          <w:rFonts w:hint="eastAsia" w:ascii="Times New Roman" w:hAnsi="Times New Roman" w:eastAsia="方正仿宋_GBK" w:cs="Times New Roman"/>
          <w:sz w:val="32"/>
        </w:rPr>
        <w:t>1154.15</w:t>
      </w:r>
      <w:r>
        <w:rPr>
          <w:rFonts w:ascii="Times New Roman" w:hAnsi="Times New Roman" w:eastAsia="方正仿宋_GBK" w:cs="Times New Roman"/>
          <w:sz w:val="32"/>
        </w:rPr>
        <w:t>万元，上年结转</w:t>
      </w:r>
      <w:r>
        <w:rPr>
          <w:rFonts w:hint="eastAsia" w:ascii="Times New Roman" w:hAnsi="Times New Roman" w:eastAsia="方正仿宋_GBK" w:cs="Times New Roman"/>
          <w:sz w:val="32"/>
        </w:rPr>
        <w:t>0</w:t>
      </w:r>
      <w:r>
        <w:rPr>
          <w:rFonts w:ascii="Times New Roman" w:hAnsi="Times New Roman" w:eastAsia="方正仿宋_GBK" w:cs="Times New Roman"/>
          <w:sz w:val="32"/>
        </w:rPr>
        <w:t>万元</w:t>
      </w:r>
      <w:r>
        <w:rPr>
          <w:rFonts w:hint="eastAsia" w:ascii="Times New Roman" w:hAnsi="Times New Roman" w:eastAsia="方正仿宋_GBK" w:cs="Times New Roman"/>
          <w:sz w:val="32"/>
        </w:rPr>
        <w:t>；</w:t>
      </w:r>
      <w:r>
        <w:rPr>
          <w:rFonts w:ascii="Times New Roman" w:hAnsi="Times New Roman" w:eastAsia="方正仿宋_GBK" w:cs="Times New Roman"/>
          <w:sz w:val="32"/>
        </w:rPr>
        <w:t>政府性基金预算拨款0万元，上年结转</w:t>
      </w:r>
      <w:r>
        <w:rPr>
          <w:rFonts w:hint="eastAsia" w:ascii="Times New Roman" w:hAnsi="Times New Roman" w:eastAsia="方正仿宋_GBK" w:cs="Times New Roman"/>
          <w:sz w:val="32"/>
        </w:rPr>
        <w:t>0</w:t>
      </w:r>
      <w:r>
        <w:rPr>
          <w:rFonts w:ascii="Times New Roman" w:hAnsi="Times New Roman" w:eastAsia="方正仿宋_GBK" w:cs="Times New Roman"/>
          <w:sz w:val="32"/>
        </w:rPr>
        <w:t>万元</w:t>
      </w:r>
      <w:r>
        <w:rPr>
          <w:rFonts w:hint="eastAsia" w:ascii="Times New Roman" w:hAnsi="Times New Roman" w:eastAsia="方正仿宋_GBK" w:cs="Times New Roman"/>
          <w:sz w:val="32"/>
        </w:rPr>
        <w:t>；</w:t>
      </w:r>
      <w:r>
        <w:rPr>
          <w:rFonts w:ascii="Times New Roman" w:hAnsi="Times New Roman" w:eastAsia="方正仿宋_GBK" w:cs="Times New Roman"/>
          <w:sz w:val="32"/>
        </w:rPr>
        <w:t>国有资本经营预算收入0万元，上年结转</w:t>
      </w:r>
      <w:r>
        <w:rPr>
          <w:rFonts w:hint="eastAsia" w:ascii="Times New Roman" w:hAnsi="Times New Roman" w:eastAsia="方正仿宋_GBK" w:cs="Times New Roman"/>
          <w:sz w:val="32"/>
        </w:rPr>
        <w:t>0</w:t>
      </w:r>
      <w:r>
        <w:rPr>
          <w:rFonts w:ascii="Times New Roman" w:hAnsi="Times New Roman" w:eastAsia="方正仿宋_GBK" w:cs="Times New Roman"/>
          <w:sz w:val="32"/>
        </w:rPr>
        <w:t>万元</w:t>
      </w:r>
      <w:r>
        <w:rPr>
          <w:rFonts w:hint="eastAsia" w:ascii="Times New Roman" w:hAnsi="Times New Roman" w:eastAsia="方正仿宋_GBK" w:cs="Times New Roman"/>
          <w:sz w:val="32"/>
        </w:rPr>
        <w:t>；</w:t>
      </w:r>
      <w:r>
        <w:rPr>
          <w:rFonts w:ascii="Times New Roman" w:hAnsi="Times New Roman" w:eastAsia="方正仿宋_GBK" w:cs="Times New Roman"/>
          <w:sz w:val="32"/>
        </w:rPr>
        <w:t>事业收入0万元，事业单位经营收入0万元，其他收入0万元。收入较202</w:t>
      </w:r>
      <w:r>
        <w:rPr>
          <w:rFonts w:hint="eastAsia" w:ascii="Times New Roman" w:hAnsi="Times New Roman" w:eastAsia="方正仿宋_GBK" w:cs="Times New Roman"/>
          <w:sz w:val="32"/>
        </w:rPr>
        <w:t>5</w:t>
      </w:r>
      <w:r>
        <w:rPr>
          <w:rFonts w:ascii="Times New Roman" w:hAnsi="Times New Roman" w:eastAsia="方正仿宋_GBK" w:cs="Times New Roman"/>
          <w:sz w:val="32"/>
        </w:rPr>
        <w:t>年</w:t>
      </w:r>
      <w:r>
        <w:rPr>
          <w:rFonts w:hint="eastAsia" w:ascii="Times New Roman" w:hAnsi="Times New Roman" w:eastAsia="方正仿宋_GBK" w:cs="Times New Roman"/>
          <w:sz w:val="32"/>
        </w:rPr>
        <w:t>增加171.65</w:t>
      </w:r>
      <w:r>
        <w:rPr>
          <w:rFonts w:ascii="Times New Roman" w:hAnsi="Times New Roman" w:eastAsia="方正仿宋_GBK" w:cs="Times New Roman"/>
          <w:sz w:val="32"/>
        </w:rPr>
        <w:t>万元，主要是</w:t>
      </w:r>
      <w:r>
        <w:rPr>
          <w:rFonts w:hint="eastAsia" w:ascii="Times New Roman" w:hAnsi="Times New Roman" w:eastAsia="方正仿宋_GBK" w:cs="Times New Roman"/>
          <w:sz w:val="32"/>
        </w:rPr>
        <w:t>项目</w:t>
      </w:r>
      <w:r>
        <w:rPr>
          <w:rFonts w:ascii="Times New Roman" w:hAnsi="Times New Roman" w:eastAsia="方正仿宋_GBK" w:cs="Times New Roman"/>
          <w:sz w:val="32"/>
        </w:rPr>
        <w:t>经费拨款增加</w:t>
      </w:r>
      <w:r>
        <w:rPr>
          <w:rFonts w:hint="eastAsia" w:ascii="Times New Roman" w:hAnsi="Times New Roman" w:eastAsia="方正仿宋_GBK" w:cs="Times New Roman"/>
          <w:sz w:val="32"/>
        </w:rPr>
        <w:t>140</w:t>
      </w:r>
      <w:r>
        <w:rPr>
          <w:rFonts w:ascii="Times New Roman" w:hAnsi="Times New Roman" w:eastAsia="方正仿宋_GBK" w:cs="Times New Roman"/>
          <w:sz w:val="32"/>
        </w:rPr>
        <w:t>万元</w:t>
      </w:r>
      <w:r>
        <w:rPr>
          <w:rFonts w:hint="eastAsia" w:ascii="Times New Roman" w:hAnsi="Times New Roman" w:eastAsia="方正仿宋_GBK" w:cs="Times New Roman"/>
          <w:sz w:val="32"/>
        </w:rPr>
        <w:t>，人员和公用</w:t>
      </w:r>
      <w:r>
        <w:rPr>
          <w:rFonts w:ascii="Times New Roman" w:hAnsi="Times New Roman" w:eastAsia="方正仿宋_GBK" w:cs="Times New Roman"/>
          <w:sz w:val="32"/>
        </w:rPr>
        <w:t>经费拨款增加</w:t>
      </w:r>
      <w:r>
        <w:rPr>
          <w:rFonts w:hint="eastAsia" w:ascii="Times New Roman" w:hAnsi="Times New Roman" w:eastAsia="方正仿宋_GBK" w:cs="Times New Roman"/>
          <w:sz w:val="32"/>
        </w:rPr>
        <w:t>31.65万元。</w:t>
      </w:r>
    </w:p>
    <w:p w14:paraId="31E061E3">
      <w:pPr>
        <w:spacing w:line="560" w:lineRule="exact"/>
        <w:ind w:firstLine="640" w:firstLineChars="200"/>
        <w:rPr>
          <w:rFonts w:ascii="Times New Roman" w:hAnsi="Times New Roman" w:eastAsia="方正仿宋_GBK" w:cs="Times New Roman"/>
          <w:sz w:val="32"/>
        </w:rPr>
      </w:pPr>
      <w:r>
        <w:rPr>
          <w:rFonts w:ascii="Times New Roman" w:hAnsi="Times New Roman" w:eastAsia="方正楷体_GBK" w:cs="Times New Roman"/>
          <w:sz w:val="32"/>
        </w:rPr>
        <w:t>（二）支出预算：</w:t>
      </w:r>
      <w:r>
        <w:rPr>
          <w:rFonts w:ascii="Times New Roman" w:hAnsi="Times New Roman" w:eastAsia="方正仿宋_GBK" w:cs="Times New Roman"/>
          <w:sz w:val="32"/>
        </w:rPr>
        <w:t>202</w:t>
      </w:r>
      <w:r>
        <w:rPr>
          <w:rFonts w:hint="eastAsia" w:ascii="Times New Roman" w:hAnsi="Times New Roman" w:eastAsia="方正仿宋_GBK" w:cs="Times New Roman"/>
          <w:sz w:val="32"/>
        </w:rPr>
        <w:t>6</w:t>
      </w:r>
      <w:r>
        <w:rPr>
          <w:rFonts w:ascii="Times New Roman" w:hAnsi="Times New Roman" w:eastAsia="方正仿宋_GBK" w:cs="Times New Roman"/>
          <w:sz w:val="32"/>
        </w:rPr>
        <w:t>年年初预算数</w:t>
      </w:r>
      <w:r>
        <w:rPr>
          <w:rFonts w:hint="eastAsia" w:ascii="Times New Roman" w:hAnsi="Times New Roman" w:eastAsia="方正仿宋_GBK" w:cs="Times New Roman"/>
          <w:sz w:val="32"/>
        </w:rPr>
        <w:t>1154.15</w:t>
      </w:r>
      <w:r>
        <w:rPr>
          <w:rFonts w:ascii="Times New Roman" w:hAnsi="Times New Roman" w:eastAsia="方正仿宋_GBK" w:cs="Times New Roman"/>
          <w:sz w:val="32"/>
        </w:rPr>
        <w:t>万元，其中：一般公共服务支出预算</w:t>
      </w:r>
      <w:r>
        <w:rPr>
          <w:rFonts w:hint="eastAsia" w:ascii="Times New Roman" w:hAnsi="Times New Roman" w:eastAsia="方正仿宋_GBK" w:cs="Times New Roman"/>
          <w:sz w:val="32"/>
        </w:rPr>
        <w:t>1098.85</w:t>
      </w:r>
      <w:r>
        <w:rPr>
          <w:rFonts w:ascii="Times New Roman" w:hAnsi="Times New Roman" w:eastAsia="方正仿宋_GBK" w:cs="Times New Roman"/>
          <w:sz w:val="32"/>
        </w:rPr>
        <w:t>万元，教育支出预算0万元，社会保障和就业支出预算</w:t>
      </w:r>
      <w:r>
        <w:rPr>
          <w:rFonts w:hint="eastAsia" w:ascii="Times New Roman" w:hAnsi="Times New Roman" w:eastAsia="方正仿宋_GBK" w:cs="Times New Roman"/>
          <w:sz w:val="32"/>
        </w:rPr>
        <w:t>27.26</w:t>
      </w:r>
      <w:r>
        <w:rPr>
          <w:rFonts w:ascii="Times New Roman" w:hAnsi="Times New Roman" w:eastAsia="方正仿宋_GBK" w:cs="Times New Roman"/>
          <w:sz w:val="32"/>
        </w:rPr>
        <w:t>万元，卫生健康支出预算</w:t>
      </w:r>
      <w:r>
        <w:rPr>
          <w:rFonts w:hint="eastAsia" w:ascii="Times New Roman" w:hAnsi="Times New Roman" w:eastAsia="方正仿宋_GBK" w:cs="Times New Roman"/>
          <w:sz w:val="32"/>
        </w:rPr>
        <w:t>12.98</w:t>
      </w:r>
      <w:r>
        <w:rPr>
          <w:rFonts w:ascii="Times New Roman" w:hAnsi="Times New Roman" w:eastAsia="方正仿宋_GBK" w:cs="Times New Roman"/>
          <w:sz w:val="32"/>
        </w:rPr>
        <w:t>万元，住房保障支出预算</w:t>
      </w:r>
      <w:r>
        <w:rPr>
          <w:rFonts w:hint="eastAsia" w:ascii="Times New Roman" w:hAnsi="Times New Roman" w:eastAsia="方正仿宋_GBK" w:cs="Times New Roman"/>
          <w:sz w:val="32"/>
        </w:rPr>
        <w:t>15.07</w:t>
      </w:r>
      <w:r>
        <w:rPr>
          <w:rFonts w:ascii="Times New Roman" w:hAnsi="Times New Roman" w:eastAsia="方正仿宋_GBK" w:cs="Times New Roman"/>
          <w:sz w:val="32"/>
        </w:rPr>
        <w:t>万元。支出预算较202</w:t>
      </w:r>
      <w:r>
        <w:rPr>
          <w:rFonts w:hint="eastAsia" w:ascii="Times New Roman" w:hAnsi="Times New Roman" w:eastAsia="方正仿宋_GBK" w:cs="Times New Roman"/>
          <w:sz w:val="32"/>
        </w:rPr>
        <w:t>5</w:t>
      </w:r>
      <w:r>
        <w:rPr>
          <w:rFonts w:ascii="Times New Roman" w:hAnsi="Times New Roman" w:eastAsia="方正仿宋_GBK" w:cs="Times New Roman"/>
          <w:sz w:val="32"/>
        </w:rPr>
        <w:t>年</w:t>
      </w:r>
      <w:r>
        <w:rPr>
          <w:rFonts w:hint="eastAsia" w:ascii="Times New Roman" w:hAnsi="Times New Roman" w:eastAsia="方正仿宋_GBK" w:cs="Times New Roman"/>
          <w:sz w:val="32"/>
        </w:rPr>
        <w:t>增加171.65</w:t>
      </w:r>
      <w:r>
        <w:rPr>
          <w:rFonts w:ascii="Times New Roman" w:hAnsi="Times New Roman" w:eastAsia="方正仿宋_GBK" w:cs="Times New Roman"/>
          <w:sz w:val="32"/>
        </w:rPr>
        <w:t>万元，主要是基本支出预算增加</w:t>
      </w:r>
      <w:r>
        <w:rPr>
          <w:rFonts w:hint="eastAsia" w:ascii="Times New Roman" w:hAnsi="Times New Roman" w:eastAsia="方正仿宋_GBK" w:cs="Times New Roman"/>
          <w:sz w:val="32"/>
        </w:rPr>
        <w:t>31.65</w:t>
      </w:r>
      <w:r>
        <w:rPr>
          <w:rFonts w:ascii="Times New Roman" w:hAnsi="Times New Roman" w:eastAsia="方正仿宋_GBK" w:cs="Times New Roman"/>
          <w:sz w:val="32"/>
        </w:rPr>
        <w:t>万元，项目支出预算增加</w:t>
      </w:r>
      <w:r>
        <w:rPr>
          <w:rFonts w:hint="eastAsia" w:ascii="Times New Roman" w:hAnsi="Times New Roman" w:eastAsia="方正仿宋_GBK" w:cs="Times New Roman"/>
          <w:sz w:val="32"/>
        </w:rPr>
        <w:t>140</w:t>
      </w:r>
      <w:r>
        <w:rPr>
          <w:rFonts w:ascii="Times New Roman" w:hAnsi="Times New Roman" w:eastAsia="方正仿宋_GBK" w:cs="Times New Roman"/>
          <w:sz w:val="32"/>
        </w:rPr>
        <w:t>万元。</w:t>
      </w:r>
    </w:p>
    <w:p w14:paraId="68805042">
      <w:pPr>
        <w:spacing w:line="560" w:lineRule="exact"/>
        <w:ind w:firstLine="640" w:firstLineChars="200"/>
        <w:rPr>
          <w:rFonts w:ascii="Times New Roman" w:hAnsi="Times New Roman" w:eastAsia="方正黑体_GBK" w:cs="Times New Roman"/>
          <w:sz w:val="32"/>
        </w:rPr>
      </w:pPr>
      <w:r>
        <w:rPr>
          <w:rFonts w:ascii="Times New Roman" w:hAnsi="Times New Roman" w:eastAsia="方正黑体_GBK" w:cs="Times New Roman"/>
          <w:sz w:val="32"/>
        </w:rPr>
        <w:t>三、部门预算情况说明</w:t>
      </w:r>
    </w:p>
    <w:p w14:paraId="6F288397">
      <w:pPr>
        <w:spacing w:line="560" w:lineRule="exact"/>
        <w:ind w:firstLine="640" w:firstLineChars="200"/>
        <w:rPr>
          <w:rFonts w:ascii="Times New Roman" w:hAnsi="Times New Roman" w:eastAsia="方正仿宋_GBK" w:cs="Times New Roman"/>
          <w:sz w:val="32"/>
          <w:highlight w:val="yellow"/>
        </w:rPr>
      </w:pPr>
      <w:r>
        <w:rPr>
          <w:rFonts w:ascii="Times New Roman" w:hAnsi="Times New Roman" w:eastAsia="方正仿宋_GBK" w:cs="Times New Roman"/>
          <w:sz w:val="32"/>
        </w:rPr>
        <w:t>202</w:t>
      </w:r>
      <w:r>
        <w:rPr>
          <w:rFonts w:hint="eastAsia" w:ascii="Times New Roman" w:hAnsi="Times New Roman" w:eastAsia="方正仿宋_GBK" w:cs="Times New Roman"/>
          <w:sz w:val="32"/>
        </w:rPr>
        <w:t>6</w:t>
      </w:r>
      <w:r>
        <w:rPr>
          <w:rFonts w:ascii="Times New Roman" w:hAnsi="Times New Roman" w:eastAsia="方正仿宋_GBK" w:cs="Times New Roman"/>
          <w:sz w:val="32"/>
        </w:rPr>
        <w:t>年一般公共预算财政拨款收入</w:t>
      </w:r>
      <w:r>
        <w:rPr>
          <w:rFonts w:hint="eastAsia" w:ascii="Times New Roman" w:hAnsi="Times New Roman" w:eastAsia="方正仿宋_GBK" w:cs="Times New Roman"/>
          <w:sz w:val="32"/>
        </w:rPr>
        <w:t>1154.15</w:t>
      </w:r>
      <w:r>
        <w:rPr>
          <w:rFonts w:ascii="Times New Roman" w:hAnsi="Times New Roman" w:eastAsia="方正仿宋_GBK" w:cs="Times New Roman"/>
          <w:sz w:val="32"/>
        </w:rPr>
        <w:t>万元，一般公共预算财政拨款支出</w:t>
      </w:r>
      <w:r>
        <w:rPr>
          <w:rFonts w:hint="eastAsia" w:ascii="Times New Roman" w:hAnsi="Times New Roman" w:eastAsia="方正仿宋_GBK" w:cs="Times New Roman"/>
          <w:sz w:val="32"/>
        </w:rPr>
        <w:t>1154.15</w:t>
      </w:r>
      <w:r>
        <w:rPr>
          <w:rFonts w:ascii="Times New Roman" w:hAnsi="Times New Roman" w:eastAsia="方正仿宋_GBK" w:cs="Times New Roman"/>
          <w:sz w:val="32"/>
        </w:rPr>
        <w:t>万元，比202</w:t>
      </w:r>
      <w:r>
        <w:rPr>
          <w:rFonts w:hint="eastAsia" w:ascii="Times New Roman" w:hAnsi="Times New Roman" w:eastAsia="方正仿宋_GBK" w:cs="Times New Roman"/>
          <w:sz w:val="32"/>
        </w:rPr>
        <w:t>5</w:t>
      </w:r>
      <w:r>
        <w:rPr>
          <w:rFonts w:ascii="Times New Roman" w:hAnsi="Times New Roman" w:eastAsia="方正仿宋_GBK" w:cs="Times New Roman"/>
          <w:sz w:val="32"/>
        </w:rPr>
        <w:t>年</w:t>
      </w:r>
      <w:r>
        <w:rPr>
          <w:rFonts w:hint="eastAsia" w:ascii="Times New Roman" w:hAnsi="Times New Roman" w:eastAsia="方正仿宋_GBK" w:cs="Times New Roman"/>
          <w:sz w:val="32"/>
        </w:rPr>
        <w:t>增加171.65</w:t>
      </w:r>
      <w:r>
        <w:rPr>
          <w:rFonts w:ascii="Times New Roman" w:hAnsi="Times New Roman" w:eastAsia="方正仿宋_GBK" w:cs="Times New Roman"/>
          <w:sz w:val="32"/>
        </w:rPr>
        <w:t>万元。其中：基本支出</w:t>
      </w:r>
      <w:r>
        <w:rPr>
          <w:rFonts w:hint="eastAsia" w:ascii="Times New Roman" w:hAnsi="Times New Roman" w:eastAsia="方正仿宋_GBK" w:cs="Times New Roman"/>
          <w:sz w:val="32"/>
        </w:rPr>
        <w:t>214.15</w:t>
      </w:r>
      <w:r>
        <w:rPr>
          <w:rFonts w:ascii="Times New Roman" w:hAnsi="Times New Roman" w:eastAsia="方正仿宋_GBK" w:cs="Times New Roman"/>
          <w:sz w:val="32"/>
        </w:rPr>
        <w:t>万元，比2025年增加</w:t>
      </w:r>
      <w:r>
        <w:rPr>
          <w:rFonts w:hint="eastAsia" w:ascii="Times New Roman" w:hAnsi="Times New Roman" w:eastAsia="方正仿宋_GBK" w:cs="Times New Roman"/>
          <w:sz w:val="32"/>
        </w:rPr>
        <w:t>31.65</w:t>
      </w:r>
      <w:r>
        <w:rPr>
          <w:rFonts w:ascii="Times New Roman" w:hAnsi="Times New Roman" w:eastAsia="方正仿宋_GBK" w:cs="Times New Roman"/>
          <w:sz w:val="32"/>
        </w:rPr>
        <w:t>万元，</w:t>
      </w:r>
      <w:r>
        <w:rPr>
          <w:rFonts w:eastAsia="方正仿宋_GBK"/>
          <w:sz w:val="32"/>
        </w:rPr>
        <w:t>主要原因是</w:t>
      </w:r>
      <w:r>
        <w:rPr>
          <w:rFonts w:hint="eastAsia" w:eastAsia="方正仿宋_GBK"/>
          <w:sz w:val="32"/>
        </w:rPr>
        <w:t>新调入公务员</w:t>
      </w:r>
      <w:r>
        <w:rPr>
          <w:rFonts w:ascii="Times New Roman" w:hAnsi="Times New Roman" w:eastAsia="方正仿宋_GBK" w:cs="Times New Roman"/>
          <w:sz w:val="32"/>
        </w:rPr>
        <w:t>1</w:t>
      </w:r>
      <w:r>
        <w:rPr>
          <w:rFonts w:hint="eastAsia" w:eastAsia="方正仿宋_GBK"/>
          <w:sz w:val="32"/>
        </w:rPr>
        <w:t>名</w:t>
      </w:r>
      <w:r>
        <w:rPr>
          <w:rFonts w:eastAsia="方正仿宋_GBK"/>
          <w:sz w:val="32"/>
        </w:rPr>
        <w:t>，主要用于保障在职人员工资福利及社会保险缴费</w:t>
      </w:r>
      <w:r>
        <w:rPr>
          <w:rFonts w:hint="eastAsia" w:eastAsia="方正仿宋_GBK"/>
          <w:sz w:val="32"/>
        </w:rPr>
        <w:t>、公用经费</w:t>
      </w:r>
      <w:r>
        <w:rPr>
          <w:rFonts w:eastAsia="方正仿宋_GBK"/>
          <w:sz w:val="32"/>
        </w:rPr>
        <w:t>等，保障部门正常运转的各项商品服务支出</w:t>
      </w:r>
      <w:r>
        <w:rPr>
          <w:rFonts w:ascii="Times New Roman" w:hAnsi="Times New Roman" w:eastAsia="方正仿宋_GBK" w:cs="Times New Roman"/>
          <w:sz w:val="32"/>
        </w:rPr>
        <w:t>；项目支出940万元，比2025年增加140万元，主要原因是新增招商引资工作经费140万元，主要用于“大抓招商工业强化年”重点工作。</w:t>
      </w:r>
    </w:p>
    <w:p w14:paraId="1F6D5562">
      <w:pPr>
        <w:spacing w:line="560" w:lineRule="exact"/>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重庆市开州区招商投资促进局</w:t>
      </w:r>
      <w:r>
        <w:rPr>
          <w:rFonts w:ascii="Times New Roman" w:hAnsi="Times New Roman" w:eastAsia="方正仿宋_GBK" w:cs="Times New Roman"/>
          <w:sz w:val="32"/>
          <w:szCs w:val="32"/>
        </w:rPr>
        <w:t>（本级）</w:t>
      </w:r>
      <w:r>
        <w:rPr>
          <w:rFonts w:ascii="Times New Roman" w:hAnsi="Times New Roman" w:eastAsia="方正仿宋_GBK" w:cs="Times New Roman"/>
          <w:sz w:val="32"/>
        </w:rPr>
        <w:t>202</w:t>
      </w:r>
      <w:r>
        <w:rPr>
          <w:rFonts w:hint="eastAsia" w:ascii="Times New Roman" w:hAnsi="Times New Roman" w:eastAsia="方正仿宋_GBK" w:cs="Times New Roman"/>
          <w:sz w:val="32"/>
        </w:rPr>
        <w:t>6</w:t>
      </w:r>
      <w:r>
        <w:rPr>
          <w:rFonts w:ascii="Times New Roman" w:hAnsi="Times New Roman" w:eastAsia="方正仿宋_GBK" w:cs="Times New Roman"/>
          <w:sz w:val="32"/>
        </w:rPr>
        <w:t>年无使用政府性基金预算拨款安排的支出。</w:t>
      </w:r>
    </w:p>
    <w:p w14:paraId="452DEB56">
      <w:pPr>
        <w:spacing w:line="560" w:lineRule="exact"/>
        <w:ind w:firstLine="640" w:firstLineChars="200"/>
        <w:rPr>
          <w:rFonts w:ascii="Times New Roman" w:hAnsi="Times New Roman" w:eastAsia="方正仿宋_GBK" w:cs="Times New Roman"/>
          <w:sz w:val="32"/>
        </w:rPr>
      </w:pPr>
      <w:r>
        <w:rPr>
          <w:rFonts w:ascii="Times New Roman" w:hAnsi="Times New Roman" w:eastAsia="方正黑体_GBK" w:cs="Times New Roman"/>
          <w:sz w:val="32"/>
        </w:rPr>
        <w:t>四、“三公”经费情况说明</w:t>
      </w:r>
    </w:p>
    <w:p w14:paraId="339D2B03">
      <w:pPr>
        <w:spacing w:line="560" w:lineRule="exact"/>
        <w:ind w:firstLine="600"/>
        <w:rPr>
          <w:rFonts w:ascii="Times New Roman" w:hAnsi="Times New Roman" w:eastAsia="方正仿宋_GBK" w:cs="Times New Roman"/>
          <w:sz w:val="32"/>
        </w:rPr>
      </w:pPr>
      <w:r>
        <w:rPr>
          <w:rFonts w:ascii="Times New Roman" w:hAnsi="Times New Roman" w:eastAsia="方正仿宋_GBK" w:cs="Times New Roman"/>
          <w:sz w:val="32"/>
        </w:rPr>
        <w:t>202</w:t>
      </w:r>
      <w:r>
        <w:rPr>
          <w:rFonts w:hint="eastAsia" w:ascii="Times New Roman" w:hAnsi="Times New Roman" w:eastAsia="方正仿宋_GBK" w:cs="Times New Roman"/>
          <w:sz w:val="32"/>
        </w:rPr>
        <w:t>6</w:t>
      </w:r>
      <w:r>
        <w:rPr>
          <w:rFonts w:ascii="Times New Roman" w:hAnsi="Times New Roman" w:eastAsia="方正仿宋_GBK" w:cs="Times New Roman"/>
          <w:sz w:val="32"/>
        </w:rPr>
        <w:t>年“三公”经费预算</w:t>
      </w:r>
      <w:r>
        <w:rPr>
          <w:rFonts w:hint="eastAsia" w:ascii="Times New Roman" w:hAnsi="Times New Roman" w:eastAsia="方正仿宋_GBK" w:cs="Times New Roman"/>
          <w:sz w:val="32"/>
        </w:rPr>
        <w:t>3</w:t>
      </w:r>
      <w:r>
        <w:rPr>
          <w:rFonts w:ascii="Times New Roman" w:hAnsi="Times New Roman" w:eastAsia="方正仿宋_GBK" w:cs="Times New Roman"/>
          <w:sz w:val="32"/>
        </w:rPr>
        <w:t>万元，</w:t>
      </w:r>
      <w:r>
        <w:rPr>
          <w:rFonts w:hint="eastAsia" w:ascii="Times New Roman" w:hAnsi="Times New Roman" w:eastAsia="方正仿宋_GBK" w:cs="Times New Roman"/>
          <w:sz w:val="32"/>
        </w:rPr>
        <w:t>与2025年持平</w:t>
      </w:r>
      <w:r>
        <w:rPr>
          <w:rFonts w:ascii="Times New Roman" w:hAnsi="Times New Roman" w:eastAsia="方正仿宋_GBK" w:cs="Times New Roman"/>
          <w:sz w:val="32"/>
        </w:rPr>
        <w:t>。其中：因公出国（境）费用0万元；公务接待费0万元；公务用车运行维护费3万元，与202</w:t>
      </w:r>
      <w:r>
        <w:rPr>
          <w:rFonts w:hint="eastAsia" w:ascii="Times New Roman" w:hAnsi="Times New Roman" w:eastAsia="方正仿宋_GBK" w:cs="Times New Roman"/>
          <w:sz w:val="32"/>
        </w:rPr>
        <w:t>5</w:t>
      </w:r>
      <w:r>
        <w:rPr>
          <w:rFonts w:ascii="Times New Roman" w:hAnsi="Times New Roman" w:eastAsia="方正仿宋_GBK" w:cs="Times New Roman"/>
          <w:sz w:val="32"/>
        </w:rPr>
        <w:t>年</w:t>
      </w:r>
      <w:r>
        <w:rPr>
          <w:rFonts w:hint="eastAsia" w:ascii="Times New Roman" w:hAnsi="Times New Roman" w:eastAsia="方正仿宋_GBK" w:cs="Times New Roman"/>
          <w:sz w:val="32"/>
        </w:rPr>
        <w:t>持平</w:t>
      </w:r>
      <w:r>
        <w:rPr>
          <w:rFonts w:ascii="Times New Roman" w:hAnsi="Times New Roman" w:eastAsia="方正仿宋_GBK" w:cs="Times New Roman"/>
          <w:sz w:val="32"/>
        </w:rPr>
        <w:t>；公务用车购置费0万元。</w:t>
      </w:r>
    </w:p>
    <w:p w14:paraId="3F62C754">
      <w:pPr>
        <w:spacing w:line="560" w:lineRule="exact"/>
        <w:ind w:firstLine="640" w:firstLineChars="200"/>
        <w:rPr>
          <w:rFonts w:ascii="Times New Roman" w:hAnsi="Times New Roman" w:eastAsia="方正黑体_GBK" w:cs="Times New Roman"/>
          <w:sz w:val="32"/>
        </w:rPr>
      </w:pPr>
      <w:r>
        <w:rPr>
          <w:rFonts w:ascii="Times New Roman" w:hAnsi="Times New Roman" w:eastAsia="方正黑体_GBK" w:cs="Times New Roman"/>
          <w:sz w:val="32"/>
        </w:rPr>
        <w:t>五、其他重要事项的情况说明</w:t>
      </w:r>
    </w:p>
    <w:p w14:paraId="6E6370F0">
      <w:pPr>
        <w:spacing w:line="560" w:lineRule="exact"/>
        <w:ind w:firstLine="640" w:firstLineChars="200"/>
        <w:rPr>
          <w:rFonts w:ascii="Times New Roman" w:hAnsi="Times New Roman" w:eastAsia="方正仿宋_GBK" w:cs="Times New Roman"/>
          <w:sz w:val="32"/>
        </w:rPr>
      </w:pPr>
      <w:r>
        <w:rPr>
          <w:rFonts w:hint="eastAsia" w:ascii="方正楷体_GBK" w:hAnsi="方正楷体_GBK" w:eastAsia="方正楷体_GBK" w:cs="方正楷体_GBK"/>
          <w:bCs/>
          <w:sz w:val="32"/>
        </w:rPr>
        <w:t>（一）机关运行经费。</w:t>
      </w:r>
      <w:r>
        <w:rPr>
          <w:rFonts w:ascii="Times New Roman" w:hAnsi="Times New Roman" w:eastAsia="方正仿宋_GBK" w:cs="Times New Roman"/>
          <w:sz w:val="32"/>
        </w:rPr>
        <w:t>202</w:t>
      </w:r>
      <w:r>
        <w:rPr>
          <w:rFonts w:hint="eastAsia" w:ascii="Times New Roman" w:hAnsi="Times New Roman" w:eastAsia="方正仿宋_GBK" w:cs="Times New Roman"/>
          <w:sz w:val="32"/>
        </w:rPr>
        <w:t>6</w:t>
      </w:r>
      <w:r>
        <w:rPr>
          <w:rFonts w:ascii="Times New Roman" w:hAnsi="Times New Roman" w:eastAsia="方正仿宋_GBK" w:cs="Times New Roman"/>
          <w:sz w:val="32"/>
        </w:rPr>
        <w:t>年一般公共预算财政拨款运行经费</w:t>
      </w:r>
      <w:r>
        <w:rPr>
          <w:rFonts w:hint="eastAsia" w:ascii="Times New Roman" w:hAnsi="Times New Roman" w:eastAsia="方正仿宋_GBK" w:cs="Times New Roman"/>
          <w:sz w:val="32"/>
        </w:rPr>
        <w:t>18.12</w:t>
      </w:r>
      <w:r>
        <w:rPr>
          <w:rFonts w:ascii="Times New Roman" w:hAnsi="Times New Roman" w:eastAsia="方正仿宋_GBK" w:cs="Times New Roman"/>
          <w:sz w:val="32"/>
        </w:rPr>
        <w:t>万元，比上年</w:t>
      </w:r>
      <w:r>
        <w:rPr>
          <w:rFonts w:hint="eastAsia" w:ascii="Times New Roman" w:hAnsi="Times New Roman" w:eastAsia="方正仿宋_GBK" w:cs="Times New Roman"/>
          <w:sz w:val="32"/>
        </w:rPr>
        <w:t>增加2.15</w:t>
      </w:r>
      <w:r>
        <w:rPr>
          <w:rFonts w:ascii="Times New Roman" w:hAnsi="Times New Roman" w:eastAsia="方正仿宋_GBK" w:cs="Times New Roman"/>
          <w:sz w:val="32"/>
        </w:rPr>
        <w:t>万元，主要原因为202</w:t>
      </w:r>
      <w:r>
        <w:rPr>
          <w:rFonts w:hint="eastAsia" w:ascii="Times New Roman" w:hAnsi="Times New Roman" w:eastAsia="方正仿宋_GBK" w:cs="Times New Roman"/>
          <w:sz w:val="32"/>
        </w:rPr>
        <w:t>5</w:t>
      </w:r>
      <w:r>
        <w:rPr>
          <w:rFonts w:ascii="Times New Roman" w:hAnsi="Times New Roman" w:eastAsia="方正仿宋_GBK" w:cs="Times New Roman"/>
          <w:sz w:val="32"/>
        </w:rPr>
        <w:t>年</w:t>
      </w:r>
      <w:r>
        <w:rPr>
          <w:rFonts w:hint="eastAsia" w:ascii="Times New Roman" w:hAnsi="Times New Roman" w:eastAsia="方正仿宋_GBK" w:cs="Times New Roman"/>
          <w:sz w:val="32"/>
        </w:rPr>
        <w:t>调入公务员1名</w:t>
      </w:r>
      <w:r>
        <w:rPr>
          <w:rFonts w:ascii="Times New Roman" w:hAnsi="Times New Roman" w:eastAsia="方正仿宋_GBK" w:cs="Times New Roman"/>
          <w:sz w:val="32"/>
        </w:rPr>
        <w:t>。机关运行经费主要用于办公费、印刷费、邮电费、水电费、物管费、差旅费、会议费、培训费及其他商品和服务支出等。</w:t>
      </w:r>
    </w:p>
    <w:p w14:paraId="0A43BE7C">
      <w:pPr>
        <w:ind w:firstLine="640" w:firstLineChars="200"/>
        <w:rPr>
          <w:rFonts w:ascii="Times New Roman" w:hAnsi="Times New Roman" w:eastAsia="方正仿宋_GBK" w:cs="Times New Roman"/>
          <w:sz w:val="32"/>
        </w:rPr>
      </w:pPr>
      <w:r>
        <w:rPr>
          <w:rFonts w:hint="eastAsia" w:ascii="方正楷体_GBK" w:hAnsi="方正楷体_GBK" w:eastAsia="方正楷体_GBK" w:cs="方正楷体_GBK"/>
          <w:bCs/>
          <w:sz w:val="32"/>
        </w:rPr>
        <w:t>（二）</w:t>
      </w:r>
      <w:r>
        <w:rPr>
          <w:rFonts w:ascii="方正楷体_GBK" w:hAnsi="方正楷体_GBK" w:eastAsia="方正楷体_GBK" w:cs="方正楷体_GBK"/>
          <w:bCs/>
          <w:sz w:val="32"/>
        </w:rPr>
        <w:t>政府采购情况。</w:t>
      </w:r>
      <w:r>
        <w:rPr>
          <w:rFonts w:ascii="Times New Roman" w:hAnsi="Times New Roman" w:eastAsia="方正仿宋_GBK" w:cs="Times New Roman"/>
          <w:sz w:val="32"/>
        </w:rPr>
        <w:t>重庆市开州区招商投资促进局（本级）</w:t>
      </w:r>
      <w:r>
        <w:rPr>
          <w:rFonts w:eastAsia="方正仿宋_GBK"/>
          <w:sz w:val="32"/>
        </w:rPr>
        <w:t>政府采购预算总额</w:t>
      </w:r>
      <w:r>
        <w:rPr>
          <w:rFonts w:hint="eastAsia" w:ascii="Times New Roman" w:hAnsi="Times New Roman" w:eastAsia="方正仿宋_GBK" w:cs="Times New Roman"/>
          <w:sz w:val="32"/>
        </w:rPr>
        <w:t>0.7</w:t>
      </w:r>
      <w:r>
        <w:rPr>
          <w:rFonts w:eastAsia="方正仿宋_GBK"/>
          <w:sz w:val="32"/>
        </w:rPr>
        <w:t>万元：政府采购货物预算</w:t>
      </w:r>
      <w:r>
        <w:rPr>
          <w:rFonts w:hint="eastAsia" w:ascii="Times New Roman" w:hAnsi="Times New Roman" w:eastAsia="方正仿宋_GBK" w:cs="Times New Roman"/>
          <w:sz w:val="32"/>
        </w:rPr>
        <w:t>0.7</w:t>
      </w:r>
      <w:r>
        <w:rPr>
          <w:rFonts w:eastAsia="方正仿宋_GBK"/>
          <w:sz w:val="32"/>
        </w:rPr>
        <w:t>万元、政府采购工程预算</w:t>
      </w:r>
      <w:r>
        <w:rPr>
          <w:rFonts w:ascii="Times New Roman" w:hAnsi="Times New Roman" w:eastAsia="方正仿宋_GBK" w:cs="Times New Roman"/>
          <w:sz w:val="32"/>
        </w:rPr>
        <w:t>0</w:t>
      </w:r>
      <w:r>
        <w:rPr>
          <w:rFonts w:eastAsia="方正仿宋_GBK"/>
          <w:sz w:val="32"/>
        </w:rPr>
        <w:t>万元、政府采购服务预算</w:t>
      </w:r>
      <w:r>
        <w:rPr>
          <w:rFonts w:ascii="Times New Roman" w:hAnsi="Times New Roman" w:eastAsia="方正仿宋_GBK" w:cs="Times New Roman"/>
          <w:sz w:val="32"/>
        </w:rPr>
        <w:t>0</w:t>
      </w:r>
      <w:r>
        <w:rPr>
          <w:rFonts w:eastAsia="方正仿宋_GBK"/>
          <w:sz w:val="32"/>
        </w:rPr>
        <w:t>万元；其中一般公共预算拨款政府采购</w:t>
      </w:r>
      <w:r>
        <w:rPr>
          <w:rFonts w:hint="eastAsia" w:ascii="Times New Roman" w:hAnsi="Times New Roman" w:eastAsia="方正仿宋_GBK" w:cs="Times New Roman"/>
          <w:sz w:val="32"/>
        </w:rPr>
        <w:t>0.7</w:t>
      </w:r>
      <w:r>
        <w:rPr>
          <w:rFonts w:eastAsia="方正仿宋_GBK"/>
          <w:sz w:val="32"/>
        </w:rPr>
        <w:t>万元：政府采购货物预算</w:t>
      </w:r>
      <w:r>
        <w:rPr>
          <w:rFonts w:hint="eastAsia" w:ascii="Times New Roman" w:hAnsi="Times New Roman" w:eastAsia="方正仿宋_GBK" w:cs="Times New Roman"/>
          <w:sz w:val="32"/>
        </w:rPr>
        <w:t>0.7</w:t>
      </w:r>
      <w:r>
        <w:rPr>
          <w:rFonts w:eastAsia="方正仿宋_GBK"/>
          <w:sz w:val="32"/>
        </w:rPr>
        <w:t>万元、政府采购工程预算</w:t>
      </w:r>
      <w:r>
        <w:rPr>
          <w:rFonts w:ascii="Times New Roman" w:hAnsi="Times New Roman" w:eastAsia="方正仿宋_GBK" w:cs="Times New Roman"/>
          <w:sz w:val="32"/>
        </w:rPr>
        <w:t>0</w:t>
      </w:r>
      <w:r>
        <w:rPr>
          <w:rFonts w:eastAsia="方正仿宋_GBK"/>
          <w:sz w:val="32"/>
        </w:rPr>
        <w:t>万元、政府采购服务预算</w:t>
      </w:r>
      <w:r>
        <w:rPr>
          <w:rFonts w:ascii="Times New Roman" w:hAnsi="Times New Roman" w:eastAsia="方正仿宋_GBK" w:cs="Times New Roman"/>
          <w:sz w:val="32"/>
        </w:rPr>
        <w:t>0</w:t>
      </w:r>
      <w:r>
        <w:rPr>
          <w:rFonts w:eastAsia="方正仿宋_GBK"/>
          <w:sz w:val="32"/>
        </w:rPr>
        <w:t>万元。</w:t>
      </w:r>
    </w:p>
    <w:p w14:paraId="167696C1">
      <w:pPr>
        <w:spacing w:line="560" w:lineRule="exact"/>
        <w:ind w:firstLine="640" w:firstLineChars="200"/>
        <w:rPr>
          <w:rFonts w:ascii="Times New Roman" w:hAnsi="Times New Roman" w:eastAsia="方正仿宋_GBK" w:cs="Times New Roman"/>
          <w:color w:val="000000"/>
          <w:sz w:val="32"/>
        </w:rPr>
      </w:pPr>
      <w:r>
        <w:rPr>
          <w:rFonts w:hint="eastAsia" w:ascii="方正楷体_GBK" w:hAnsi="方正楷体_GBK" w:eastAsia="方正楷体_GBK" w:cs="方正楷体_GBK"/>
          <w:bCs/>
          <w:sz w:val="32"/>
        </w:rPr>
        <w:t>（三）</w:t>
      </w:r>
      <w:r>
        <w:rPr>
          <w:rFonts w:ascii="方正楷体_GBK" w:hAnsi="方正楷体_GBK" w:eastAsia="方正楷体_GBK" w:cs="方正楷体_GBK"/>
          <w:bCs/>
          <w:sz w:val="32"/>
        </w:rPr>
        <w:t>绩效目标设置情况。</w:t>
      </w:r>
      <w:r>
        <w:rPr>
          <w:rFonts w:ascii="Times New Roman" w:hAnsi="Times New Roman" w:eastAsia="方正仿宋_GBK" w:cs="Times New Roman"/>
          <w:color w:val="000000"/>
          <w:sz w:val="32"/>
        </w:rPr>
        <w:t>202</w:t>
      </w:r>
      <w:r>
        <w:rPr>
          <w:rFonts w:hint="eastAsia" w:ascii="Times New Roman" w:hAnsi="Times New Roman" w:eastAsia="方正仿宋_GBK" w:cs="Times New Roman"/>
          <w:color w:val="000000"/>
          <w:sz w:val="32"/>
        </w:rPr>
        <w:t>6</w:t>
      </w:r>
      <w:r>
        <w:rPr>
          <w:rFonts w:ascii="Times New Roman" w:hAnsi="Times New Roman" w:eastAsia="方正仿宋_GBK" w:cs="Times New Roman"/>
          <w:color w:val="000000"/>
          <w:sz w:val="32"/>
        </w:rPr>
        <w:t>年</w:t>
      </w:r>
      <w:r>
        <w:rPr>
          <w:rFonts w:ascii="Times New Roman" w:hAnsi="Times New Roman" w:eastAsia="方正仿宋_GBK" w:cs="Times New Roman"/>
          <w:sz w:val="32"/>
        </w:rPr>
        <w:t>重庆市开州区招商投资促进局（本级）</w:t>
      </w:r>
      <w:r>
        <w:rPr>
          <w:rFonts w:eastAsia="方正仿宋_GBK"/>
          <w:sz w:val="32"/>
        </w:rPr>
        <w:t>项目支出实行了绩效目标管理，涉及一般公共预算当年财政拨款</w:t>
      </w:r>
      <w:r>
        <w:rPr>
          <w:rFonts w:ascii="Times New Roman" w:hAnsi="Times New Roman" w:eastAsia="方正仿宋_GBK" w:cs="Times New Roman"/>
          <w:sz w:val="32"/>
        </w:rPr>
        <w:t>940</w:t>
      </w:r>
      <w:r>
        <w:rPr>
          <w:rFonts w:eastAsia="方正仿宋_GBK"/>
          <w:sz w:val="32"/>
        </w:rPr>
        <w:t>万元。</w:t>
      </w:r>
    </w:p>
    <w:p w14:paraId="772C3B77">
      <w:pPr>
        <w:spacing w:line="560" w:lineRule="exact"/>
        <w:ind w:firstLine="640" w:firstLineChars="200"/>
        <w:rPr>
          <w:rFonts w:ascii="Times New Roman" w:hAnsi="Times New Roman" w:eastAsia="方正仿宋_GBK" w:cs="Times New Roman"/>
          <w:color w:val="000000"/>
          <w:sz w:val="32"/>
        </w:rPr>
      </w:pPr>
      <w:r>
        <w:rPr>
          <w:rFonts w:hint="eastAsia" w:ascii="方正楷体_GBK" w:hAnsi="方正楷体_GBK" w:eastAsia="方正楷体_GBK" w:cs="方正楷体_GBK"/>
          <w:bCs/>
          <w:sz w:val="32"/>
        </w:rPr>
        <w:t>（四）</w:t>
      </w:r>
      <w:r>
        <w:rPr>
          <w:rFonts w:ascii="方正楷体_GBK" w:hAnsi="方正楷体_GBK" w:eastAsia="方正楷体_GBK" w:cs="方正楷体_GBK"/>
          <w:bCs/>
          <w:sz w:val="32"/>
        </w:rPr>
        <w:t>国有资产占有使用情况。</w:t>
      </w:r>
      <w:r>
        <w:rPr>
          <w:rFonts w:hint="eastAsia" w:ascii="Times New Roman" w:hAnsi="Times New Roman" w:eastAsia="方正仿宋_GBK" w:cs="Times New Roman"/>
          <w:color w:val="000000"/>
          <w:sz w:val="32"/>
          <w:lang w:val="en-US" w:eastAsia="zh-CN"/>
        </w:rPr>
        <w:t>截至</w:t>
      </w:r>
      <w:bookmarkStart w:id="0" w:name="_GoBack"/>
      <w:bookmarkEnd w:id="0"/>
      <w:r>
        <w:rPr>
          <w:rFonts w:ascii="Times New Roman" w:hAnsi="Times New Roman" w:eastAsia="方正仿宋_GBK" w:cs="Times New Roman"/>
          <w:color w:val="000000"/>
          <w:sz w:val="32"/>
        </w:rPr>
        <w:t>202</w:t>
      </w:r>
      <w:r>
        <w:rPr>
          <w:rFonts w:hint="eastAsia" w:ascii="Times New Roman" w:hAnsi="Times New Roman" w:eastAsia="方正仿宋_GBK" w:cs="Times New Roman"/>
          <w:color w:val="000000"/>
          <w:sz w:val="32"/>
        </w:rPr>
        <w:t>5</w:t>
      </w:r>
      <w:r>
        <w:rPr>
          <w:rFonts w:ascii="Times New Roman" w:hAnsi="Times New Roman" w:eastAsia="方正仿宋_GBK" w:cs="Times New Roman"/>
          <w:color w:val="000000"/>
          <w:sz w:val="32"/>
        </w:rPr>
        <w:t>年12月，所属各预算单位共有车辆1辆，其中一般公务用车1辆。202</w:t>
      </w:r>
      <w:r>
        <w:rPr>
          <w:rFonts w:hint="eastAsia" w:ascii="Times New Roman" w:hAnsi="Times New Roman" w:eastAsia="方正仿宋_GBK" w:cs="Times New Roman"/>
          <w:color w:val="000000"/>
          <w:sz w:val="32"/>
        </w:rPr>
        <w:t>6</w:t>
      </w:r>
      <w:r>
        <w:rPr>
          <w:rFonts w:ascii="Times New Roman" w:hAnsi="Times New Roman" w:eastAsia="方正仿宋_GBK" w:cs="Times New Roman"/>
          <w:color w:val="000000"/>
          <w:sz w:val="32"/>
        </w:rPr>
        <w:t>年一般公共预算无安排购置车辆。</w:t>
      </w:r>
    </w:p>
    <w:p w14:paraId="0D851A67">
      <w:pPr>
        <w:spacing w:line="560" w:lineRule="exact"/>
        <w:ind w:firstLine="640" w:firstLineChars="200"/>
        <w:rPr>
          <w:rFonts w:ascii="Times New Roman" w:hAnsi="Times New Roman" w:eastAsia="方正黑体_GBK" w:cs="Times New Roman"/>
          <w:sz w:val="32"/>
        </w:rPr>
      </w:pPr>
      <w:r>
        <w:rPr>
          <w:rFonts w:ascii="Times New Roman" w:hAnsi="Times New Roman" w:eastAsia="方正黑体_GBK" w:cs="Times New Roman"/>
          <w:sz w:val="32"/>
        </w:rPr>
        <w:t>六、专业性名词解释</w:t>
      </w:r>
    </w:p>
    <w:p w14:paraId="6525B429">
      <w:pPr>
        <w:pStyle w:val="10"/>
        <w:tabs>
          <w:tab w:val="center" w:pos="4153"/>
          <w:tab w:val="left" w:pos="7275"/>
        </w:tabs>
        <w:spacing w:line="560" w:lineRule="exact"/>
        <w:ind w:firstLine="640"/>
        <w:jc w:val="left"/>
        <w:rPr>
          <w:rFonts w:ascii="Times New Roman" w:hAnsi="Times New Roman" w:eastAsia="方正仿宋_GBK" w:cs="Times New Roman"/>
          <w:sz w:val="32"/>
          <w:szCs w:val="32"/>
        </w:rPr>
      </w:pPr>
      <w:r>
        <w:rPr>
          <w:rFonts w:ascii="方正楷体_GBK" w:hAnsi="方正楷体_GBK" w:eastAsia="方正楷体_GBK" w:cs="方正楷体_GBK"/>
          <w:bCs/>
          <w:sz w:val="32"/>
          <w:szCs w:val="24"/>
        </w:rPr>
        <w:t>（一）财政拨款收入：</w:t>
      </w:r>
      <w:r>
        <w:rPr>
          <w:rFonts w:ascii="Times New Roman" w:hAnsi="Times New Roman" w:eastAsia="方正仿宋_GBK" w:cs="Times New Roman"/>
          <w:sz w:val="32"/>
          <w:szCs w:val="32"/>
        </w:rPr>
        <w:t>指本年度从本级财政部门取得的财政拨款，包括一般公共预算财政拨款和政府性基金预算财政拨款。</w:t>
      </w:r>
    </w:p>
    <w:p w14:paraId="7F1DAE36">
      <w:pPr>
        <w:pStyle w:val="10"/>
        <w:tabs>
          <w:tab w:val="center" w:pos="4153"/>
          <w:tab w:val="left" w:pos="7275"/>
        </w:tabs>
        <w:spacing w:line="560" w:lineRule="exact"/>
        <w:ind w:firstLine="640"/>
        <w:jc w:val="left"/>
        <w:rPr>
          <w:rFonts w:ascii="Times New Roman" w:hAnsi="Times New Roman" w:eastAsia="方正仿宋_GBK" w:cs="Times New Roman"/>
          <w:sz w:val="32"/>
          <w:szCs w:val="32"/>
        </w:rPr>
      </w:pPr>
      <w:r>
        <w:rPr>
          <w:rFonts w:ascii="Times New Roman" w:hAnsi="Times New Roman" w:eastAsia="方正楷体_GBK" w:cs="Times New Roman"/>
          <w:sz w:val="32"/>
          <w:szCs w:val="32"/>
        </w:rPr>
        <w:t>（二）其他收入：</w:t>
      </w:r>
      <w:r>
        <w:rPr>
          <w:rFonts w:ascii="Times New Roman" w:hAnsi="Times New Roman" w:eastAsia="方正仿宋_GBK" w:cs="Times New Roman"/>
          <w:sz w:val="32"/>
          <w:szCs w:val="32"/>
        </w:rPr>
        <w:t>指单位取得的除“财政拨款收入”、“事业收入”、“经营收入”等以外的收入。</w:t>
      </w:r>
    </w:p>
    <w:p w14:paraId="5CD42BB0">
      <w:pPr>
        <w:pStyle w:val="10"/>
        <w:tabs>
          <w:tab w:val="center" w:pos="4153"/>
          <w:tab w:val="left" w:pos="7275"/>
        </w:tabs>
        <w:spacing w:line="560" w:lineRule="exact"/>
        <w:ind w:firstLine="640"/>
        <w:jc w:val="left"/>
        <w:rPr>
          <w:rFonts w:ascii="Times New Roman" w:hAnsi="Times New Roman" w:eastAsia="方正仿宋_GBK" w:cs="Times New Roman"/>
          <w:sz w:val="32"/>
          <w:szCs w:val="32"/>
        </w:rPr>
      </w:pPr>
      <w:r>
        <w:rPr>
          <w:rFonts w:ascii="Times New Roman" w:hAnsi="Times New Roman" w:eastAsia="方正楷体_GBK" w:cs="Times New Roman"/>
          <w:sz w:val="32"/>
          <w:szCs w:val="32"/>
        </w:rPr>
        <w:t>（三）基本支出：</w:t>
      </w:r>
      <w:r>
        <w:rPr>
          <w:rFonts w:ascii="Times New Roman" w:hAnsi="Times New Roman" w:eastAsia="方正仿宋_GBK" w:cs="Times New Roman"/>
          <w:sz w:val="32"/>
          <w:szCs w:val="32"/>
        </w:rPr>
        <w:t>指为保障机构正常运转、完成日常工作任务而发生的人员经费和公用经费。</w:t>
      </w:r>
    </w:p>
    <w:p w14:paraId="67422926">
      <w:pPr>
        <w:pStyle w:val="10"/>
        <w:tabs>
          <w:tab w:val="center" w:pos="4153"/>
          <w:tab w:val="left" w:pos="7275"/>
        </w:tabs>
        <w:spacing w:line="560" w:lineRule="exact"/>
        <w:ind w:firstLine="640"/>
        <w:jc w:val="left"/>
        <w:rPr>
          <w:rFonts w:ascii="Times New Roman" w:hAnsi="Times New Roman" w:eastAsia="方正仿宋_GBK" w:cs="Times New Roman"/>
          <w:sz w:val="32"/>
          <w:szCs w:val="32"/>
        </w:rPr>
      </w:pPr>
      <w:r>
        <w:rPr>
          <w:rFonts w:ascii="Times New Roman" w:hAnsi="Times New Roman" w:eastAsia="方正楷体_GBK" w:cs="Times New Roman"/>
          <w:sz w:val="32"/>
          <w:szCs w:val="32"/>
        </w:rPr>
        <w:t>（四）项目支出：</w:t>
      </w:r>
      <w:r>
        <w:rPr>
          <w:rFonts w:ascii="Times New Roman" w:hAnsi="Times New Roman" w:eastAsia="方正仿宋_GBK" w:cs="Times New Roman"/>
          <w:sz w:val="32"/>
          <w:szCs w:val="32"/>
        </w:rPr>
        <w:t>指在基本支出之外为完成特定行政任务和事业发展目标所发生的支出。</w:t>
      </w:r>
    </w:p>
    <w:p w14:paraId="72080A38">
      <w:pPr>
        <w:spacing w:line="560" w:lineRule="exact"/>
        <w:ind w:firstLine="640" w:firstLineChars="200"/>
        <w:rPr>
          <w:rFonts w:ascii="Times New Roman" w:hAnsi="Times New Roman" w:eastAsia="方正仿宋_GBK" w:cs="Times New Roman"/>
          <w:b/>
          <w:sz w:val="32"/>
        </w:rPr>
      </w:pPr>
      <w:r>
        <w:rPr>
          <w:rFonts w:ascii="Times New Roman" w:hAnsi="Times New Roman" w:eastAsia="方正楷体_GBK" w:cs="Times New Roman"/>
          <w:sz w:val="32"/>
          <w:szCs w:val="32"/>
        </w:rPr>
        <w:t>（五）“三公”经费：</w:t>
      </w:r>
      <w:r>
        <w:rPr>
          <w:rFonts w:ascii="Times New Roman" w:hAnsi="Times New Roman" w:eastAsia="方正仿宋_GBK" w:cs="Times New Roman"/>
          <w:sz w:val="32"/>
          <w:szCs w:val="32"/>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5101C28B">
      <w:pPr>
        <w:wordWrap w:val="0"/>
        <w:spacing w:line="560" w:lineRule="exact"/>
        <w:rPr>
          <w:rFonts w:ascii="Times New Roman" w:hAnsi="Times New Roman" w:eastAsia="方正仿宋_GBK" w:cs="Times New Roman"/>
          <w:sz w:val="32"/>
          <w:szCs w:val="32"/>
        </w:rPr>
      </w:pPr>
    </w:p>
    <w:p w14:paraId="623FC93E">
      <w:pPr>
        <w:wordWrap w:val="0"/>
        <w:spacing w:line="560" w:lineRule="exact"/>
        <w:jc w:val="center"/>
        <w:rPr>
          <w:rFonts w:eastAsia="方正小标宋_GBK"/>
          <w:sz w:val="44"/>
          <w:szCs w:val="44"/>
        </w:rPr>
      </w:pPr>
    </w:p>
    <w:p w14:paraId="274BC531">
      <w:pPr>
        <w:wordWrap w:val="0"/>
        <w:spacing w:line="560" w:lineRule="exact"/>
        <w:jc w:val="center"/>
        <w:rPr>
          <w:rFonts w:eastAsia="方正小标宋_GBK"/>
          <w:sz w:val="44"/>
          <w:szCs w:val="44"/>
        </w:rPr>
      </w:pPr>
    </w:p>
    <w:p w14:paraId="7A596EB4">
      <w:pPr>
        <w:wordWrap w:val="0"/>
        <w:spacing w:line="560" w:lineRule="exact"/>
        <w:jc w:val="center"/>
        <w:rPr>
          <w:rFonts w:eastAsia="方正小标宋_GBK"/>
          <w:sz w:val="44"/>
          <w:szCs w:val="44"/>
        </w:rPr>
      </w:pPr>
    </w:p>
    <w:p w14:paraId="578D75C6">
      <w:pPr>
        <w:wordWrap w:val="0"/>
        <w:spacing w:line="560" w:lineRule="exact"/>
        <w:jc w:val="center"/>
        <w:rPr>
          <w:rFonts w:eastAsia="方正小标宋_GBK"/>
          <w:sz w:val="44"/>
          <w:szCs w:val="44"/>
        </w:rPr>
      </w:pPr>
    </w:p>
    <w:p w14:paraId="043B5906">
      <w:pPr>
        <w:wordWrap w:val="0"/>
        <w:spacing w:line="560" w:lineRule="exact"/>
        <w:jc w:val="center"/>
        <w:rPr>
          <w:rFonts w:eastAsia="方正小标宋_GBK"/>
          <w:sz w:val="44"/>
          <w:szCs w:val="44"/>
        </w:rPr>
      </w:pPr>
    </w:p>
    <w:p w14:paraId="5B34B272">
      <w:pPr>
        <w:wordWrap w:val="0"/>
        <w:spacing w:line="560" w:lineRule="exact"/>
        <w:jc w:val="center"/>
        <w:rPr>
          <w:rFonts w:eastAsia="方正小标宋_GBK"/>
          <w:sz w:val="44"/>
          <w:szCs w:val="44"/>
        </w:rPr>
      </w:pPr>
    </w:p>
    <w:p w14:paraId="7F9F364F">
      <w:pPr>
        <w:wordWrap w:val="0"/>
        <w:spacing w:line="560" w:lineRule="exact"/>
        <w:jc w:val="center"/>
        <w:rPr>
          <w:rFonts w:eastAsia="方正小标宋_GBK"/>
          <w:sz w:val="44"/>
          <w:szCs w:val="44"/>
        </w:rPr>
      </w:pPr>
    </w:p>
    <w:p w14:paraId="7CDFFB6B">
      <w:pPr>
        <w:wordWrap w:val="0"/>
        <w:spacing w:line="560" w:lineRule="exact"/>
        <w:jc w:val="center"/>
        <w:rPr>
          <w:rFonts w:eastAsia="方正小标宋_GBK"/>
          <w:sz w:val="44"/>
          <w:szCs w:val="44"/>
        </w:rPr>
      </w:pPr>
    </w:p>
    <w:p w14:paraId="3CD89A80">
      <w:pPr>
        <w:wordWrap w:val="0"/>
        <w:spacing w:line="560" w:lineRule="exact"/>
        <w:jc w:val="center"/>
        <w:rPr>
          <w:rFonts w:eastAsia="方正小标宋_GBK"/>
          <w:sz w:val="44"/>
          <w:szCs w:val="44"/>
        </w:rPr>
      </w:pPr>
    </w:p>
    <w:p w14:paraId="7734BB30">
      <w:pPr>
        <w:wordWrap w:val="0"/>
        <w:spacing w:line="560" w:lineRule="exact"/>
        <w:jc w:val="center"/>
        <w:rPr>
          <w:rFonts w:eastAsia="方正小标宋_GBK"/>
          <w:sz w:val="44"/>
          <w:szCs w:val="44"/>
        </w:rPr>
      </w:pPr>
    </w:p>
    <w:p w14:paraId="29D5DC12">
      <w:pPr>
        <w:wordWrap w:val="0"/>
        <w:spacing w:line="560" w:lineRule="exact"/>
        <w:jc w:val="center"/>
        <w:rPr>
          <w:rFonts w:eastAsia="方正小标宋_GBK"/>
          <w:sz w:val="44"/>
          <w:szCs w:val="44"/>
        </w:rPr>
      </w:pPr>
    </w:p>
    <w:p w14:paraId="3E02A1DF">
      <w:pPr>
        <w:wordWrap w:val="0"/>
        <w:spacing w:line="560" w:lineRule="exact"/>
        <w:jc w:val="center"/>
        <w:rPr>
          <w:rFonts w:eastAsia="方正小标宋_GBK"/>
          <w:sz w:val="44"/>
          <w:szCs w:val="44"/>
        </w:rPr>
      </w:pPr>
    </w:p>
    <w:p w14:paraId="3D364AD6">
      <w:pPr>
        <w:wordWrap w:val="0"/>
        <w:spacing w:line="560" w:lineRule="exact"/>
        <w:jc w:val="center"/>
        <w:rPr>
          <w:rFonts w:eastAsia="方正小标宋_GBK"/>
          <w:sz w:val="44"/>
          <w:szCs w:val="44"/>
        </w:rPr>
      </w:pPr>
    </w:p>
    <w:p w14:paraId="23356060">
      <w:pPr>
        <w:wordWrap w:val="0"/>
        <w:spacing w:line="560" w:lineRule="exact"/>
        <w:rPr>
          <w:rFonts w:eastAsia="方正小标宋_GBK"/>
          <w:sz w:val="44"/>
          <w:szCs w:val="44"/>
        </w:rPr>
      </w:pPr>
    </w:p>
    <w:p w14:paraId="18E34AB4">
      <w:pPr>
        <w:wordWrap w:val="0"/>
        <w:spacing w:line="560" w:lineRule="exact"/>
        <w:jc w:val="center"/>
        <w:rPr>
          <w:rFonts w:eastAsia="方正小标宋_GBK"/>
          <w:sz w:val="44"/>
          <w:szCs w:val="44"/>
        </w:rPr>
      </w:pPr>
    </w:p>
    <w:p w14:paraId="4D8A7AA3">
      <w:pPr>
        <w:wordWrap w:val="0"/>
        <w:spacing w:line="560" w:lineRule="exact"/>
        <w:jc w:val="center"/>
        <w:rPr>
          <w:rFonts w:eastAsia="方正小标宋_GBK"/>
          <w:sz w:val="44"/>
          <w:szCs w:val="44"/>
        </w:rPr>
      </w:pPr>
      <w:r>
        <w:rPr>
          <w:rFonts w:hint="eastAsia" w:eastAsia="方正小标宋_GBK"/>
          <w:sz w:val="44"/>
          <w:szCs w:val="44"/>
        </w:rPr>
        <w:t>第二部分：</w:t>
      </w:r>
      <w:r>
        <w:rPr>
          <w:rFonts w:ascii="Times New Roman" w:hAnsi="Times New Roman" w:eastAsia="方正仿宋_GBK" w:cs="Times New Roman"/>
          <w:sz w:val="44"/>
          <w:szCs w:val="44"/>
        </w:rPr>
        <w:t>2026</w:t>
      </w:r>
      <w:r>
        <w:rPr>
          <w:rFonts w:hint="eastAsia" w:eastAsia="方正小标宋_GBK"/>
          <w:sz w:val="44"/>
          <w:szCs w:val="44"/>
        </w:rPr>
        <w:t>年部门预算公开报表</w:t>
      </w:r>
    </w:p>
    <w:p w14:paraId="3A39953A">
      <w:pPr>
        <w:ind w:firstLine="640" w:firstLineChars="200"/>
        <w:rPr>
          <w:rFonts w:eastAsia="方正黑体_GBK"/>
          <w:sz w:val="32"/>
        </w:rPr>
      </w:pPr>
    </w:p>
    <w:p w14:paraId="20B1CD35">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2026年部门预算公开报表（详见附表重庆市开州区招商投资促进局（本级）202</w:t>
      </w:r>
      <w:r>
        <w:rPr>
          <w:rFonts w:hint="eastAsia" w:ascii="Times New Roman" w:hAnsi="Times New Roman" w:eastAsia="方正仿宋_GBK" w:cs="Times New Roman"/>
          <w:sz w:val="32"/>
        </w:rPr>
        <w:t>6</w:t>
      </w:r>
      <w:r>
        <w:rPr>
          <w:rFonts w:ascii="Times New Roman" w:hAnsi="Times New Roman" w:eastAsia="方正仿宋_GBK" w:cs="Times New Roman"/>
          <w:sz w:val="32"/>
        </w:rPr>
        <w:t>年部门预算公开报表）</w:t>
      </w:r>
    </w:p>
    <w:p w14:paraId="33376208">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部门预算公开联系人：朱逢秋  联系方式：023-52663076</w:t>
      </w:r>
    </w:p>
    <w:p w14:paraId="79071390">
      <w:pPr>
        <w:wordWrap w:val="0"/>
        <w:spacing w:line="560" w:lineRule="exact"/>
        <w:ind w:firstLine="640" w:firstLineChars="200"/>
        <w:jc w:val="right"/>
        <w:rPr>
          <w:rFonts w:ascii="Times New Roman" w:hAnsi="Times New Roman" w:eastAsia="方正仿宋_GBK" w:cs="Times New Roman"/>
          <w:sz w:val="32"/>
          <w:szCs w:val="32"/>
        </w:rPr>
      </w:pPr>
    </w:p>
    <w:p w14:paraId="7E71FC72">
      <w:pPr>
        <w:spacing w:line="560" w:lineRule="exact"/>
        <w:ind w:firstLine="640" w:firstLineChars="200"/>
        <w:jc w:val="right"/>
        <w:rPr>
          <w:rFonts w:ascii="Times New Roman" w:hAnsi="Times New Roman" w:eastAsia="方正仿宋_GBK" w:cs="Times New Roman"/>
          <w:sz w:val="32"/>
          <w:szCs w:val="32"/>
        </w:rPr>
      </w:pPr>
    </w:p>
    <w:p w14:paraId="66554D43">
      <w:pPr>
        <w:spacing w:line="560" w:lineRule="exact"/>
        <w:ind w:firstLine="640" w:firstLineChars="200"/>
        <w:jc w:val="right"/>
        <w:rPr>
          <w:rFonts w:ascii="Times New Roman" w:hAnsi="Times New Roman" w:eastAsia="方正仿宋_GBK" w:cs="Times New Roman"/>
          <w:sz w:val="32"/>
          <w:szCs w:val="32"/>
        </w:rPr>
      </w:pPr>
    </w:p>
    <w:p w14:paraId="304A8289">
      <w:pPr>
        <w:spacing w:line="560" w:lineRule="exact"/>
        <w:ind w:firstLine="640" w:firstLineChars="200"/>
        <w:jc w:val="right"/>
        <w:rPr>
          <w:rFonts w:ascii="Times New Roman" w:hAnsi="Times New Roman" w:eastAsia="方正仿宋_GBK" w:cs="Times New Roman"/>
          <w:sz w:val="32"/>
          <w:szCs w:val="32"/>
        </w:rPr>
      </w:pPr>
    </w:p>
    <w:p w14:paraId="5D833C24">
      <w:pPr>
        <w:wordWrap w:val="0"/>
        <w:spacing w:line="560" w:lineRule="exact"/>
        <w:ind w:firstLine="640" w:firstLineChars="200"/>
        <w:jc w:val="right"/>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ab/>
      </w:r>
      <w:r>
        <w:rPr>
          <w:rFonts w:ascii="Times New Roman" w:hAnsi="Times New Roman" w:eastAsia="方正仿宋_GBK" w:cs="Times New Roman"/>
          <w:sz w:val="32"/>
          <w:szCs w:val="32"/>
        </w:rPr>
        <w:t>重庆市开州区招商投资促进局</w:t>
      </w:r>
    </w:p>
    <w:p w14:paraId="1F939FDE">
      <w:pPr>
        <w:wordWrap w:val="0"/>
        <w:spacing w:line="560" w:lineRule="exact"/>
        <w:ind w:firstLine="640" w:firstLineChars="200"/>
        <w:jc w:val="center"/>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 xml:space="preserve">                       2026</w:t>
      </w:r>
      <w:r>
        <w:rPr>
          <w:rFonts w:ascii="Times New Roman" w:hAnsi="Times New Roman" w:eastAsia="方正仿宋_GBK" w:cs="Times New Roman"/>
          <w:sz w:val="32"/>
          <w:szCs w:val="32"/>
        </w:rPr>
        <w:t>年</w:t>
      </w:r>
      <w:r>
        <w:rPr>
          <w:rFonts w:hint="eastAsia" w:ascii="Times New Roman" w:hAnsi="Times New Roman" w:eastAsia="方正仿宋_GBK" w:cs="Times New Roman"/>
          <w:sz w:val="32"/>
          <w:szCs w:val="32"/>
        </w:rPr>
        <w:t>3</w:t>
      </w:r>
      <w:r>
        <w:rPr>
          <w:rFonts w:ascii="Times New Roman" w:hAnsi="Times New Roman" w:eastAsia="方正仿宋_GBK" w:cs="Times New Roman"/>
          <w:sz w:val="32"/>
          <w:szCs w:val="32"/>
        </w:rPr>
        <w:t>月</w:t>
      </w:r>
      <w:r>
        <w:rPr>
          <w:rFonts w:hint="eastAsia" w:ascii="Times New Roman" w:hAnsi="Times New Roman" w:eastAsia="方正仿宋_GBK" w:cs="Times New Roman"/>
          <w:sz w:val="32"/>
          <w:szCs w:val="32"/>
        </w:rPr>
        <w:t>11</w:t>
      </w:r>
      <w:r>
        <w:rPr>
          <w:rFonts w:ascii="Times New Roman" w:hAnsi="Times New Roman" w:eastAsia="方正仿宋_GBK" w:cs="Times New Roman"/>
          <w:sz w:val="32"/>
          <w:szCs w:val="32"/>
        </w:rPr>
        <w:t xml:space="preserve">日 </w:t>
      </w:r>
    </w:p>
    <w:p w14:paraId="26953231">
      <w:pPr>
        <w:pStyle w:val="3"/>
        <w:ind w:firstLine="640"/>
        <w:rPr>
          <w:rFonts w:ascii="Times New Roman" w:hAnsi="Times New Roman" w:eastAsia="方正仿宋_GBK" w:cs="Times New Roman"/>
          <w:sz w:val="32"/>
          <w:szCs w:val="32"/>
        </w:rPr>
      </w:pPr>
    </w:p>
    <w:p w14:paraId="391EE798">
      <w:pPr>
        <w:wordWrap w:val="0"/>
        <w:spacing w:line="560" w:lineRule="exact"/>
        <w:rPr>
          <w:rFonts w:ascii="Times New Roman" w:hAnsi="Times New Roman" w:eastAsia="方正仿宋_GBK" w:cs="Times New Roman"/>
          <w:sz w:val="32"/>
          <w:szCs w:val="32"/>
        </w:rPr>
      </w:pPr>
    </w:p>
    <w:p w14:paraId="61D11289">
      <w:pPr>
        <w:wordWrap w:val="0"/>
        <w:spacing w:line="560" w:lineRule="exact"/>
        <w:rPr>
          <w:rFonts w:ascii="Times New Roman" w:hAnsi="Times New Roman" w:eastAsia="方正仿宋_GBK" w:cs="Times New Roman"/>
          <w:sz w:val="32"/>
          <w:szCs w:val="32"/>
        </w:rPr>
      </w:pPr>
    </w:p>
    <w:p w14:paraId="0DFF9278">
      <w:pPr>
        <w:wordWrap w:val="0"/>
        <w:spacing w:line="560" w:lineRule="exact"/>
        <w:rPr>
          <w:rFonts w:ascii="Times New Roman" w:hAnsi="Times New Roman" w:eastAsia="方正仿宋_GBK" w:cs="Times New Roman"/>
          <w:sz w:val="32"/>
          <w:szCs w:val="32"/>
        </w:rPr>
      </w:pPr>
    </w:p>
    <w:p w14:paraId="0C7D525C">
      <w:pPr>
        <w:wordWrap w:val="0"/>
        <w:spacing w:line="560" w:lineRule="exact"/>
        <w:rPr>
          <w:rFonts w:ascii="Times New Roman" w:hAnsi="Times New Roman" w:eastAsia="方正仿宋_GBK" w:cs="Times New Roman"/>
          <w:sz w:val="32"/>
          <w:szCs w:val="32"/>
        </w:rPr>
      </w:pPr>
    </w:p>
    <w:p w14:paraId="5A408D4F">
      <w:pPr>
        <w:wordWrap w:val="0"/>
        <w:spacing w:line="560" w:lineRule="exact"/>
        <w:rPr>
          <w:rFonts w:ascii="Times New Roman" w:hAnsi="Times New Roman" w:eastAsia="方正仿宋_GBK" w:cs="Times New Roman"/>
          <w:sz w:val="32"/>
          <w:szCs w:val="32"/>
        </w:rPr>
      </w:pPr>
    </w:p>
    <w:p w14:paraId="39D7C8C2">
      <w:pPr>
        <w:wordWrap w:val="0"/>
        <w:spacing w:line="560" w:lineRule="exact"/>
        <w:rPr>
          <w:rFonts w:ascii="Times New Roman" w:hAnsi="Times New Roman" w:eastAsia="方正仿宋_GBK" w:cs="Times New Roman"/>
          <w:sz w:val="32"/>
          <w:szCs w:val="32"/>
        </w:rPr>
      </w:pPr>
    </w:p>
    <w:p w14:paraId="347CCD8F">
      <w:pPr>
        <w:wordWrap w:val="0"/>
        <w:spacing w:line="560" w:lineRule="exact"/>
        <w:rPr>
          <w:rFonts w:ascii="Times New Roman" w:hAnsi="Times New Roman" w:eastAsia="方正仿宋_GBK" w:cs="Times New Roman"/>
          <w:sz w:val="32"/>
          <w:szCs w:val="32"/>
        </w:rPr>
      </w:pPr>
    </w:p>
    <w:p w14:paraId="57949131">
      <w:pPr>
        <w:wordWrap w:val="0"/>
        <w:spacing w:line="560" w:lineRule="exact"/>
        <w:rPr>
          <w:rFonts w:ascii="Times New Roman" w:hAnsi="Times New Roman" w:eastAsia="方正仿宋_GBK" w:cs="Times New Roman"/>
          <w:sz w:val="32"/>
          <w:szCs w:val="32"/>
        </w:rPr>
      </w:pPr>
    </w:p>
    <w:p w14:paraId="52561467">
      <w:pPr>
        <w:pBdr>
          <w:top w:val="single" w:color="auto" w:sz="4" w:space="0"/>
          <w:bottom w:val="single" w:color="auto" w:sz="4" w:space="0"/>
        </w:pBdr>
        <w:wordWrap w:val="0"/>
        <w:spacing w:line="560" w:lineRule="exact"/>
        <w:ind w:firstLine="280" w:firstLineChars="100"/>
        <w:rPr>
          <w:rFonts w:ascii="Times New Roman" w:hAnsi="Times New Roman" w:eastAsia="方正仿宋_GBK" w:cs="Times New Roman"/>
          <w:sz w:val="32"/>
          <w:szCs w:val="32"/>
        </w:rPr>
      </w:pPr>
      <w:r>
        <w:rPr>
          <w:rFonts w:hint="eastAsia" w:ascii="方正仿宋_GBK" w:hAnsi="方正仿宋_GBK" w:eastAsia="方正仿宋_GBK" w:cs="方正仿宋_GBK"/>
          <w:sz w:val="28"/>
          <w:szCs w:val="28"/>
        </w:rPr>
        <w:t>重庆市开州区招商投资促</w:t>
      </w:r>
      <w:r>
        <w:rPr>
          <w:rFonts w:ascii="Times New Roman" w:hAnsi="Times New Roman" w:eastAsia="方正仿宋_GBK" w:cs="Times New Roman"/>
          <w:sz w:val="28"/>
          <w:szCs w:val="28"/>
        </w:rPr>
        <w:t>进局党政办公室202</w:t>
      </w:r>
      <w:r>
        <w:rPr>
          <w:rFonts w:hint="eastAsia" w:ascii="Times New Roman" w:hAnsi="Times New Roman" w:eastAsia="方正仿宋_GBK" w:cs="Times New Roman"/>
          <w:sz w:val="28"/>
          <w:szCs w:val="28"/>
        </w:rPr>
        <w:t>6</w:t>
      </w:r>
      <w:r>
        <w:rPr>
          <w:rFonts w:ascii="Times New Roman" w:hAnsi="Times New Roman" w:eastAsia="方正仿宋_GBK" w:cs="Times New Roman"/>
          <w:sz w:val="28"/>
          <w:szCs w:val="28"/>
        </w:rPr>
        <w:t>年</w:t>
      </w:r>
      <w:r>
        <w:rPr>
          <w:rFonts w:hint="eastAsia" w:ascii="Times New Roman" w:hAnsi="Times New Roman" w:eastAsia="方正仿宋_GBK" w:cs="Times New Roman"/>
          <w:sz w:val="28"/>
          <w:szCs w:val="28"/>
        </w:rPr>
        <w:t>3</w:t>
      </w:r>
      <w:r>
        <w:rPr>
          <w:rFonts w:ascii="Times New Roman" w:hAnsi="Times New Roman" w:eastAsia="方正仿宋_GBK" w:cs="Times New Roman"/>
          <w:sz w:val="28"/>
          <w:szCs w:val="28"/>
        </w:rPr>
        <w:t>月</w:t>
      </w:r>
      <w:r>
        <w:rPr>
          <w:rFonts w:hint="eastAsia" w:ascii="Times New Roman" w:hAnsi="Times New Roman" w:eastAsia="方正仿宋_GBK" w:cs="Times New Roman"/>
          <w:sz w:val="28"/>
          <w:szCs w:val="28"/>
        </w:rPr>
        <w:t>11</w:t>
      </w:r>
      <w:r>
        <w:rPr>
          <w:rFonts w:ascii="Times New Roman" w:hAnsi="Times New Roman" w:eastAsia="方正仿宋_GBK" w:cs="Times New Roman"/>
          <w:sz w:val="28"/>
          <w:szCs w:val="28"/>
        </w:rPr>
        <w:t>日印</w:t>
      </w:r>
    </w:p>
    <w:sectPr>
      <w:footerReference r:id="rId3" w:type="default"/>
      <w:pgSz w:w="11906" w:h="16838"/>
      <w:pgMar w:top="2098" w:right="1531" w:bottom="1984" w:left="1531"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2EC7C9">
    <w:pPr>
      <w:pStyle w:val="5"/>
    </w:pPr>
    <w:r>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path/>
          <v:fill on="f" focussize="0,0"/>
          <v:stroke on="f" weight="0.5pt" joinstyle="miter"/>
          <v:imagedata o:title=""/>
          <o:lock v:ext="edit"/>
          <v:textbox inset="0mm,0mm,0mm,0mm" style="mso-fit-shape-to-text:t;">
            <w:txbxContent>
              <w:p w14:paraId="00AAFCB2">
                <w:pPr>
                  <w:pStyle w:val="5"/>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10</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zc2ZGI1MWY0NDU1MjhmNTVhMDM5MjczNjk5OGFkMzMifQ=="/>
  </w:docVars>
  <w:rsids>
    <w:rsidRoot w:val="438D4EE7"/>
    <w:rsid w:val="006977D3"/>
    <w:rsid w:val="00BB457F"/>
    <w:rsid w:val="00D42F43"/>
    <w:rsid w:val="00E311DE"/>
    <w:rsid w:val="015302CD"/>
    <w:rsid w:val="05034418"/>
    <w:rsid w:val="066E659D"/>
    <w:rsid w:val="0C7D1B34"/>
    <w:rsid w:val="0CBD21BE"/>
    <w:rsid w:val="0D974424"/>
    <w:rsid w:val="0EDE504F"/>
    <w:rsid w:val="121A2353"/>
    <w:rsid w:val="138A4CE0"/>
    <w:rsid w:val="14680169"/>
    <w:rsid w:val="188C1F3A"/>
    <w:rsid w:val="1C1764BC"/>
    <w:rsid w:val="1E521006"/>
    <w:rsid w:val="1F5642FC"/>
    <w:rsid w:val="20AD1B1D"/>
    <w:rsid w:val="22E563EC"/>
    <w:rsid w:val="248316C2"/>
    <w:rsid w:val="24F574B3"/>
    <w:rsid w:val="269C7769"/>
    <w:rsid w:val="279508AE"/>
    <w:rsid w:val="288B4A07"/>
    <w:rsid w:val="2A2878AC"/>
    <w:rsid w:val="2C7F752B"/>
    <w:rsid w:val="2CB85E26"/>
    <w:rsid w:val="2CDC2BCF"/>
    <w:rsid w:val="2F181354"/>
    <w:rsid w:val="306B5DA3"/>
    <w:rsid w:val="32326DEE"/>
    <w:rsid w:val="35B31BF5"/>
    <w:rsid w:val="364C2C66"/>
    <w:rsid w:val="383C036C"/>
    <w:rsid w:val="392D2F9F"/>
    <w:rsid w:val="392D73D4"/>
    <w:rsid w:val="39646E8E"/>
    <w:rsid w:val="3A7461F5"/>
    <w:rsid w:val="3B220A43"/>
    <w:rsid w:val="3E0031F4"/>
    <w:rsid w:val="3E5F5FDE"/>
    <w:rsid w:val="3F1C5CDE"/>
    <w:rsid w:val="3F267EF0"/>
    <w:rsid w:val="40E67721"/>
    <w:rsid w:val="417D2ACD"/>
    <w:rsid w:val="42360480"/>
    <w:rsid w:val="4320516C"/>
    <w:rsid w:val="434150E2"/>
    <w:rsid w:val="438D4EE7"/>
    <w:rsid w:val="45222FBA"/>
    <w:rsid w:val="45827C84"/>
    <w:rsid w:val="45D974BA"/>
    <w:rsid w:val="475D5395"/>
    <w:rsid w:val="48FC799F"/>
    <w:rsid w:val="4A897A9B"/>
    <w:rsid w:val="4EE06AED"/>
    <w:rsid w:val="4F064D39"/>
    <w:rsid w:val="4FD07F1A"/>
    <w:rsid w:val="5405026F"/>
    <w:rsid w:val="55FE3A3B"/>
    <w:rsid w:val="56794356"/>
    <w:rsid w:val="58333249"/>
    <w:rsid w:val="59DC112D"/>
    <w:rsid w:val="5C166CB5"/>
    <w:rsid w:val="5CB22B3E"/>
    <w:rsid w:val="61DA0154"/>
    <w:rsid w:val="62895F4A"/>
    <w:rsid w:val="647C3D75"/>
    <w:rsid w:val="649C4B8E"/>
    <w:rsid w:val="66E801CB"/>
    <w:rsid w:val="677F20F9"/>
    <w:rsid w:val="6C033562"/>
    <w:rsid w:val="6C4C69B1"/>
    <w:rsid w:val="6F394D3C"/>
    <w:rsid w:val="6F9B691D"/>
    <w:rsid w:val="700B730F"/>
    <w:rsid w:val="71833BD0"/>
    <w:rsid w:val="73D14799"/>
    <w:rsid w:val="73D37A1F"/>
    <w:rsid w:val="743B50B2"/>
    <w:rsid w:val="74B11FE8"/>
    <w:rsid w:val="768B6502"/>
    <w:rsid w:val="773D6830"/>
    <w:rsid w:val="7CBB15B9"/>
    <w:rsid w:val="7D4C665A"/>
    <w:rsid w:val="7EB754F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adjustRightInd w:val="0"/>
      <w:snapToGrid w:val="0"/>
      <w:ind w:firstLine="640" w:firstLineChars="200"/>
      <w:outlineLvl w:val="0"/>
    </w:pPr>
    <w:rPr>
      <w:rFonts w:ascii="方正仿宋_GBK" w:hAnsi="方正仿宋_GBK" w:eastAsia="方正仿宋_GBK" w:cs="Times New Roman"/>
      <w:sz w:val="32"/>
      <w:szCs w:val="32"/>
      <w:lang w:val="zh-CN"/>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Normal Indent"/>
    <w:basedOn w:val="1"/>
    <w:next w:val="1"/>
    <w:qFormat/>
    <w:uiPriority w:val="0"/>
    <w:pPr>
      <w:ind w:firstLine="420" w:firstLineChars="200"/>
    </w:pPr>
  </w:style>
  <w:style w:type="paragraph" w:styleId="4">
    <w:name w:val="Body Text Indent"/>
    <w:basedOn w:val="1"/>
    <w:qFormat/>
    <w:uiPriority w:val="0"/>
    <w:pPr>
      <w:ind w:firstLine="640" w:firstLineChars="200"/>
    </w:pPr>
    <w:rPr>
      <w:rFonts w:ascii="仿宋_GB2312" w:eastAsia="仿宋_GB2312"/>
      <w:sz w:val="32"/>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9">
    <w:name w:val="page number"/>
    <w:qFormat/>
    <w:uiPriority w:val="0"/>
  </w:style>
  <w:style w:type="paragraph" w:styleId="10">
    <w:name w:val="List Paragraph"/>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2730</Words>
  <Characters>2950</Characters>
  <Lines>22</Lines>
  <Paragraphs>6</Paragraphs>
  <TotalTime>7</TotalTime>
  <ScaleCrop>false</ScaleCrop>
  <LinksUpToDate>false</LinksUpToDate>
  <CharactersWithSpaces>2980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2023-03-06T01:23:00Z</dcterms:created>
  <dc:creator>童宇</dc:creator>
  <cp:lastModifiedBy>伍崇兴</cp:lastModifiedBy>
  <cp:lastPrinted>2026-02-12T02:04:00Z</cp:lastPrinted>
  <dcterms:modified xsi:type="dcterms:W3CDTF">2026-07-06T07:14:48Z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C1BB2FD0FD944E78AD9C2C055133CE15</vt:lpwstr>
  </property>
  <property fmtid="{D5CDD505-2E9C-101B-9397-08002B2CF9AE}" pid="4" name="KSOTemplateDocerSaveRecord">
    <vt:lpwstr>eyJoZGlkIjoiN2I3NjVkZWVjYWQ0Y2NjNTM1YzU3YjRjMWY5MDRjNDIiLCJ1c2VySWQiOiIxNjc3ODQxMDQxIn0=</vt:lpwstr>
  </property>
</Properties>
</file>